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hint="default" w:ascii="Times New Roman" w:eastAsia="Times New Roman"/>
          <w:b/>
          <w:sz w:val="44"/>
          <w:u w:val="single"/>
        </w:rPr>
      </w:pPr>
    </w:p>
    <w:p>
      <w:pPr>
        <w:pStyle w:val="8"/>
        <w:jc w:val="center"/>
        <w:rPr>
          <w:rFonts w:hint="default" w:ascii="Times New Roman" w:eastAsia="Times New Roman"/>
          <w:b/>
          <w:sz w:val="44"/>
          <w:u w:val="single"/>
        </w:rPr>
      </w:pPr>
    </w:p>
    <w:p>
      <w:pPr>
        <w:pStyle w:val="8"/>
        <w:jc w:val="center"/>
        <w:rPr>
          <w:rFonts w:hint="default" w:ascii="Times New Roman" w:eastAsia="Times New Roman"/>
          <w:b/>
          <w:sz w:val="44"/>
          <w:u w:val="single"/>
        </w:rPr>
      </w:pPr>
    </w:p>
    <w:p>
      <w:pPr>
        <w:pStyle w:val="8"/>
        <w:jc w:val="center"/>
        <w:rPr>
          <w:rFonts w:hint="default" w:ascii="Times New Roman" w:eastAsia="Times New Roman"/>
          <w:b/>
          <w:sz w:val="44"/>
          <w:u w:val="single"/>
        </w:rPr>
      </w:pPr>
    </w:p>
    <w:p>
      <w:pPr>
        <w:pStyle w:val="8"/>
        <w:rPr>
          <w:rFonts w:hint="default" w:ascii="Times New Roman" w:eastAsia="Times New Roman"/>
          <w:b/>
          <w:sz w:val="44"/>
          <w:u w:val="single"/>
        </w:rPr>
      </w:pPr>
    </w:p>
    <w:p>
      <w:pPr>
        <w:pStyle w:val="8"/>
        <w:jc w:val="center"/>
        <w:rPr>
          <w:rFonts w:hint="default" w:ascii="Times New Roman" w:eastAsia="Times New Roman"/>
          <w:b/>
          <w:sz w:val="44"/>
          <w:u w:val="single"/>
        </w:rPr>
      </w:pPr>
    </w:p>
    <w:p>
      <w:pPr>
        <w:pStyle w:val="8"/>
        <w:jc w:val="center"/>
        <w:rPr>
          <w:rFonts w:hint="default" w:ascii="Times New Roman" w:eastAsia="Times New Roman"/>
          <w:b/>
          <w:sz w:val="44"/>
          <w:u w:val="single"/>
        </w:rPr>
      </w:pPr>
    </w:p>
    <w:p>
      <w:pPr>
        <w:pStyle w:val="8"/>
        <w:rPr>
          <w:rFonts w:hint="default" w:ascii="Times New Roman" w:eastAsia="Times New Roman"/>
          <w:b/>
          <w:sz w:val="44"/>
          <w:u w:val="single"/>
        </w:rPr>
      </w:pPr>
    </w:p>
    <w:p>
      <w:pPr>
        <w:pStyle w:val="8"/>
        <w:jc w:val="center"/>
        <w:rPr>
          <w:rFonts w:hint="eastAsia" w:ascii="仿宋_GB2312" w:eastAsia="仿宋_GB2312"/>
          <w:b/>
          <w:sz w:val="52"/>
          <w:lang w:eastAsia="zh-CN"/>
        </w:rPr>
      </w:pPr>
      <w:r>
        <w:rPr>
          <w:rFonts w:hint="eastAsia" w:ascii="仿宋_GB2312" w:eastAsia="仿宋_GB2312"/>
          <w:b/>
          <w:sz w:val="52"/>
          <w:lang w:eastAsia="zh-CN"/>
        </w:rPr>
        <w:t>沈阳市体育局本级</w:t>
      </w:r>
    </w:p>
    <w:p>
      <w:pPr>
        <w:pStyle w:val="8"/>
        <w:jc w:val="center"/>
        <w:rPr>
          <w:rFonts w:hint="default" w:ascii="仿宋_GB2312" w:eastAsia="仿宋_GB2312"/>
          <w:b/>
          <w:sz w:val="52"/>
        </w:rPr>
      </w:pPr>
      <w:r>
        <w:rPr>
          <w:rFonts w:ascii="仿宋_GB2312" w:eastAsia="仿宋_GB2312"/>
          <w:b/>
          <w:sz w:val="52"/>
        </w:rPr>
        <w:t>2021年度部门决算</w:t>
      </w:r>
    </w:p>
    <w:p>
      <w:pPr>
        <w:pStyle w:val="8"/>
        <w:jc w:val="center"/>
        <w:rPr>
          <w:rFonts w:hint="default" w:ascii="Times New Roman" w:eastAsia="Times New Roman"/>
          <w:b/>
          <w:sz w:val="44"/>
          <w:u w:val="single"/>
        </w:rPr>
      </w:pPr>
    </w:p>
    <w:p>
      <w:pPr>
        <w:pStyle w:val="8"/>
        <w:jc w:val="center"/>
        <w:rPr>
          <w:rFonts w:hint="default" w:ascii="Times New Roman" w:eastAsia="Times New Roman"/>
          <w:b/>
          <w:sz w:val="44"/>
          <w:u w:val="single"/>
        </w:rPr>
      </w:pPr>
    </w:p>
    <w:p>
      <w:pPr>
        <w:pStyle w:val="8"/>
        <w:jc w:val="center"/>
        <w:rPr>
          <w:rFonts w:hint="default" w:ascii="Times New Roman" w:eastAsia="Times New Roman"/>
          <w:b/>
          <w:sz w:val="44"/>
          <w:u w:val="single"/>
        </w:rPr>
      </w:pPr>
    </w:p>
    <w:p>
      <w:pPr>
        <w:pStyle w:val="8"/>
        <w:jc w:val="center"/>
        <w:rPr>
          <w:rFonts w:hint="default" w:ascii="Times New Roman" w:eastAsia="Times New Roman"/>
          <w:b/>
          <w:sz w:val="44"/>
          <w:u w:val="single"/>
        </w:rPr>
      </w:pPr>
    </w:p>
    <w:p>
      <w:pPr>
        <w:pStyle w:val="8"/>
        <w:jc w:val="center"/>
        <w:rPr>
          <w:rFonts w:hint="default" w:ascii="Times New Roman" w:eastAsia="Times New Roman"/>
          <w:b/>
          <w:sz w:val="44"/>
          <w:u w:val="single"/>
        </w:rPr>
      </w:pPr>
    </w:p>
    <w:p>
      <w:pPr>
        <w:pStyle w:val="8"/>
        <w:jc w:val="center"/>
        <w:rPr>
          <w:rFonts w:hint="default" w:ascii="Times New Roman" w:eastAsia="Times New Roman"/>
          <w:b/>
          <w:sz w:val="44"/>
          <w:u w:val="single"/>
        </w:rPr>
      </w:pPr>
    </w:p>
    <w:p>
      <w:pPr>
        <w:pStyle w:val="8"/>
        <w:jc w:val="center"/>
        <w:rPr>
          <w:rFonts w:hint="default" w:ascii="Times New Roman" w:eastAsia="Times New Roman"/>
          <w:b/>
          <w:sz w:val="44"/>
          <w:u w:val="single"/>
        </w:rPr>
      </w:pPr>
    </w:p>
    <w:p>
      <w:pPr>
        <w:pStyle w:val="8"/>
        <w:jc w:val="center"/>
        <w:rPr>
          <w:rFonts w:hint="default" w:ascii="Times New Roman" w:eastAsia="Times New Roman"/>
          <w:b/>
          <w:sz w:val="44"/>
          <w:u w:val="single"/>
        </w:rPr>
      </w:pPr>
    </w:p>
    <w:p>
      <w:pPr>
        <w:pStyle w:val="8"/>
        <w:jc w:val="center"/>
        <w:rPr>
          <w:rFonts w:hint="default" w:ascii="Times New Roman" w:eastAsia="Times New Roman"/>
          <w:b/>
          <w:sz w:val="44"/>
          <w:u w:val="single"/>
        </w:rPr>
      </w:pPr>
    </w:p>
    <w:p>
      <w:pPr>
        <w:pStyle w:val="8"/>
        <w:spacing w:line="560" w:lineRule="atLeast"/>
        <w:rPr>
          <w:rFonts w:hint="default" w:ascii="Times New Roman" w:hAnsi="Times New Roman"/>
          <w:b/>
          <w:sz w:val="44"/>
        </w:rPr>
      </w:pPr>
    </w:p>
    <w:p>
      <w:pPr>
        <w:pStyle w:val="8"/>
        <w:spacing w:line="560" w:lineRule="exact"/>
        <w:jc w:val="center"/>
        <w:rPr>
          <w:rFonts w:hint="default"/>
          <w:b/>
          <w:sz w:val="44"/>
        </w:rPr>
      </w:pPr>
    </w:p>
    <w:p>
      <w:pPr>
        <w:spacing w:line="560" w:lineRule="exact"/>
        <w:rPr>
          <w:rFonts w:ascii="黑体" w:hAnsi="黑体" w:eastAsia="黑体"/>
          <w:sz w:val="32"/>
        </w:rPr>
      </w:pPr>
      <w:r>
        <w:rPr>
          <w:rFonts w:ascii="黑体" w:hAnsi="黑体" w:eastAsia="黑体"/>
          <w:sz w:val="32"/>
        </w:rPr>
        <w:t>第一部分    沈阳市体育局概况</w:t>
      </w:r>
    </w:p>
    <w:p>
      <w:pPr>
        <w:numPr>
          <w:ilvl w:val="0"/>
          <w:numId w:val="1"/>
        </w:numPr>
        <w:tabs>
          <w:tab w:val="left" w:pos="640"/>
          <w:tab w:val="clear" w:pos="720"/>
        </w:tabs>
        <w:spacing w:line="560" w:lineRule="exact"/>
        <w:rPr>
          <w:rFonts w:ascii="仿宋_GB2312" w:hAnsi="黑体" w:eastAsia="仿宋_GB2312"/>
          <w:sz w:val="32"/>
        </w:rPr>
      </w:pPr>
      <w:r>
        <w:rPr>
          <w:rFonts w:ascii="仿宋_GB2312" w:hAnsi="黑体" w:eastAsia="仿宋_GB2312"/>
          <w:sz w:val="32"/>
        </w:rPr>
        <w:t xml:space="preserve"> 主要职责</w:t>
      </w:r>
    </w:p>
    <w:p>
      <w:pPr>
        <w:spacing w:line="560" w:lineRule="exact"/>
        <w:rPr>
          <w:rFonts w:ascii="仿宋_GB2312" w:hAnsi="黑体" w:eastAsia="仿宋_GB2312"/>
          <w:sz w:val="32"/>
        </w:rPr>
      </w:pPr>
      <w:r>
        <w:rPr>
          <w:rFonts w:ascii="仿宋_GB2312" w:hAnsi="黑体" w:eastAsia="仿宋_GB2312"/>
          <w:sz w:val="32"/>
        </w:rPr>
        <w:t>二、 机构设置</w:t>
      </w:r>
    </w:p>
    <w:p>
      <w:pPr>
        <w:pStyle w:val="8"/>
        <w:spacing w:line="560" w:lineRule="exact"/>
        <w:rPr>
          <w:rFonts w:hint="default" w:ascii="黑体" w:eastAsia="黑体"/>
          <w:sz w:val="32"/>
        </w:rPr>
      </w:pPr>
      <w:r>
        <w:rPr>
          <w:rFonts w:ascii="黑体" w:eastAsia="黑体"/>
          <w:sz w:val="32"/>
        </w:rPr>
        <w:t xml:space="preserve">第二部分    </w:t>
      </w:r>
      <w:r>
        <w:rPr>
          <w:rFonts w:ascii="黑体" w:hAnsi="黑体" w:eastAsia="黑体"/>
          <w:sz w:val="32"/>
        </w:rPr>
        <w:t>沈阳市体育局</w:t>
      </w:r>
      <w:r>
        <w:rPr>
          <w:rFonts w:ascii="黑体" w:eastAsia="黑体"/>
          <w:sz w:val="32"/>
        </w:rPr>
        <w:t>2021年部门决算情况说明</w:t>
      </w:r>
    </w:p>
    <w:p>
      <w:pPr>
        <w:pStyle w:val="8"/>
        <w:spacing w:line="560" w:lineRule="exact"/>
        <w:rPr>
          <w:rFonts w:hint="default" w:ascii="仿宋_GB2312" w:eastAsia="仿宋_GB2312"/>
          <w:sz w:val="32"/>
        </w:rPr>
      </w:pPr>
      <w:r>
        <w:rPr>
          <w:rFonts w:ascii="仿宋_GB2312" w:eastAsia="仿宋_GB2312"/>
          <w:sz w:val="32"/>
        </w:rPr>
        <w:t>一、收入支出决算总体情况说明</w:t>
      </w:r>
    </w:p>
    <w:p>
      <w:pPr>
        <w:pStyle w:val="8"/>
        <w:spacing w:line="560" w:lineRule="exact"/>
        <w:rPr>
          <w:rFonts w:hint="default" w:ascii="仿宋_GB2312" w:eastAsia="仿宋_GB2312"/>
          <w:sz w:val="32"/>
        </w:rPr>
      </w:pPr>
      <w:r>
        <w:rPr>
          <w:rFonts w:ascii="仿宋_GB2312" w:eastAsia="仿宋_GB2312"/>
          <w:sz w:val="32"/>
        </w:rPr>
        <w:t>二、财政拨款收入支出决算情况说明</w:t>
      </w:r>
    </w:p>
    <w:p>
      <w:pPr>
        <w:pStyle w:val="8"/>
        <w:spacing w:line="560" w:lineRule="exact"/>
        <w:rPr>
          <w:rFonts w:hint="default" w:ascii="仿宋_GB2312" w:eastAsia="仿宋_GB2312"/>
          <w:sz w:val="32"/>
        </w:rPr>
      </w:pPr>
      <w:r>
        <w:rPr>
          <w:rFonts w:ascii="仿宋_GB2312" w:eastAsia="仿宋_GB2312"/>
          <w:sz w:val="32"/>
        </w:rPr>
        <w:t>三、一般公共预算财政拨款“三公”经费支出决算情况说明</w:t>
      </w:r>
    </w:p>
    <w:p>
      <w:pPr>
        <w:pStyle w:val="8"/>
        <w:spacing w:line="560" w:lineRule="exact"/>
        <w:rPr>
          <w:rFonts w:hint="default" w:ascii="仿宋_GB2312" w:eastAsia="仿宋_GB2312"/>
          <w:sz w:val="32"/>
        </w:rPr>
      </w:pPr>
      <w:r>
        <w:rPr>
          <w:rFonts w:ascii="仿宋_GB2312" w:eastAsia="仿宋_GB2312"/>
          <w:sz w:val="32"/>
        </w:rPr>
        <w:t>四、一般公共预算财政拨款基本支出决算情况说明</w:t>
      </w:r>
    </w:p>
    <w:p>
      <w:pPr>
        <w:pStyle w:val="8"/>
        <w:spacing w:line="560" w:lineRule="exact"/>
        <w:rPr>
          <w:rFonts w:hint="default" w:ascii="黑体" w:eastAsia="黑体"/>
          <w:sz w:val="32"/>
        </w:rPr>
      </w:pPr>
      <w:r>
        <w:rPr>
          <w:rFonts w:ascii="仿宋_GB2312" w:eastAsia="仿宋_GB2312"/>
          <w:sz w:val="32"/>
        </w:rPr>
        <w:t>五、其他重要事项的情况说明</w:t>
      </w:r>
    </w:p>
    <w:p>
      <w:pPr>
        <w:pStyle w:val="8"/>
        <w:spacing w:line="560" w:lineRule="exact"/>
        <w:rPr>
          <w:rFonts w:hint="default" w:ascii="黑体" w:eastAsia="黑体"/>
          <w:sz w:val="32"/>
        </w:rPr>
      </w:pPr>
      <w:r>
        <w:rPr>
          <w:rFonts w:ascii="黑体" w:eastAsia="黑体"/>
          <w:sz w:val="32"/>
        </w:rPr>
        <w:t>第三部分    名词解释</w:t>
      </w:r>
    </w:p>
    <w:p>
      <w:pPr>
        <w:pStyle w:val="8"/>
        <w:spacing w:line="560" w:lineRule="exact"/>
        <w:rPr>
          <w:rFonts w:hint="default" w:ascii="黑体" w:eastAsia="黑体"/>
          <w:sz w:val="32"/>
        </w:rPr>
      </w:pPr>
      <w:r>
        <w:rPr>
          <w:rFonts w:ascii="黑体" w:eastAsia="黑体"/>
          <w:sz w:val="32"/>
        </w:rPr>
        <w:t xml:space="preserve">第四部分    </w:t>
      </w:r>
      <w:r>
        <w:rPr>
          <w:rFonts w:hint="eastAsia" w:ascii="黑体" w:eastAsia="黑体"/>
          <w:sz w:val="32"/>
          <w:lang w:eastAsia="zh-CN"/>
        </w:rPr>
        <w:t>沈阳市体育局本级</w:t>
      </w:r>
      <w:r>
        <w:rPr>
          <w:rFonts w:ascii="黑体" w:eastAsia="黑体"/>
          <w:sz w:val="32"/>
        </w:rPr>
        <w:t>2021年部门决算报表</w:t>
      </w:r>
    </w:p>
    <w:p>
      <w:pPr>
        <w:pStyle w:val="8"/>
        <w:spacing w:line="560" w:lineRule="exact"/>
        <w:rPr>
          <w:rFonts w:hint="default" w:ascii="仿宋_GB2312" w:eastAsia="仿宋_GB2312"/>
          <w:sz w:val="32"/>
        </w:rPr>
      </w:pPr>
      <w:r>
        <w:rPr>
          <w:rFonts w:ascii="仿宋_GB2312" w:eastAsia="仿宋_GB2312"/>
          <w:sz w:val="32"/>
        </w:rPr>
        <w:t>一、2021年度收入支出决算总表</w:t>
      </w:r>
    </w:p>
    <w:p>
      <w:pPr>
        <w:pStyle w:val="8"/>
        <w:spacing w:line="560" w:lineRule="exact"/>
        <w:rPr>
          <w:rFonts w:hint="default" w:ascii="仿宋_GB2312" w:eastAsia="仿宋_GB2312"/>
          <w:sz w:val="32"/>
        </w:rPr>
      </w:pPr>
      <w:r>
        <w:rPr>
          <w:rFonts w:ascii="仿宋_GB2312" w:eastAsia="仿宋_GB2312"/>
          <w:sz w:val="32"/>
        </w:rPr>
        <w:t>二、2021年度收入决算表</w:t>
      </w:r>
    </w:p>
    <w:p>
      <w:pPr>
        <w:pStyle w:val="8"/>
        <w:spacing w:line="560" w:lineRule="exact"/>
        <w:rPr>
          <w:rFonts w:hint="default" w:ascii="仿宋_GB2312" w:eastAsia="仿宋_GB2312"/>
          <w:sz w:val="32"/>
        </w:rPr>
      </w:pPr>
      <w:r>
        <w:rPr>
          <w:rFonts w:ascii="仿宋_GB2312" w:eastAsia="仿宋_GB2312"/>
          <w:sz w:val="32"/>
        </w:rPr>
        <w:t>三、2021年度支出决算表</w:t>
      </w:r>
    </w:p>
    <w:p>
      <w:pPr>
        <w:pStyle w:val="8"/>
        <w:spacing w:line="560" w:lineRule="exact"/>
        <w:rPr>
          <w:rFonts w:hint="default" w:ascii="仿宋_GB2312" w:eastAsia="仿宋_GB2312"/>
          <w:sz w:val="32"/>
        </w:rPr>
      </w:pPr>
      <w:r>
        <w:rPr>
          <w:rFonts w:ascii="仿宋_GB2312" w:eastAsia="仿宋_GB2312"/>
          <w:sz w:val="32"/>
        </w:rPr>
        <w:t>四、2021年度财政拨款收入支出决算总表</w:t>
      </w:r>
    </w:p>
    <w:p>
      <w:pPr>
        <w:pStyle w:val="8"/>
        <w:spacing w:line="560" w:lineRule="exact"/>
        <w:rPr>
          <w:rFonts w:hint="default" w:ascii="仿宋_GB2312" w:eastAsia="仿宋_GB2312"/>
          <w:sz w:val="32"/>
        </w:rPr>
      </w:pPr>
      <w:r>
        <w:rPr>
          <w:rFonts w:ascii="仿宋_GB2312" w:eastAsia="仿宋_GB2312"/>
          <w:sz w:val="32"/>
        </w:rPr>
        <w:t>五、2021年度一般公共预算财政拨款支出决算表</w:t>
      </w:r>
    </w:p>
    <w:p>
      <w:pPr>
        <w:pStyle w:val="8"/>
        <w:spacing w:line="560" w:lineRule="exact"/>
        <w:rPr>
          <w:rFonts w:hint="default" w:ascii="仿宋_GB2312" w:eastAsia="仿宋_GB2312"/>
          <w:sz w:val="32"/>
        </w:rPr>
      </w:pPr>
      <w:r>
        <w:rPr>
          <w:rFonts w:ascii="仿宋_GB2312" w:eastAsia="仿宋_GB2312"/>
          <w:sz w:val="32"/>
        </w:rPr>
        <w:t>六、2021年度一般公共预算财政拨款基本支出决算表</w:t>
      </w:r>
    </w:p>
    <w:p>
      <w:pPr>
        <w:pStyle w:val="8"/>
        <w:spacing w:line="560" w:lineRule="exact"/>
        <w:rPr>
          <w:rFonts w:hint="default" w:ascii="仿宋_GB2312" w:eastAsia="仿宋_GB2312"/>
          <w:sz w:val="32"/>
        </w:rPr>
      </w:pPr>
      <w:r>
        <w:rPr>
          <w:rFonts w:ascii="仿宋_GB2312" w:eastAsia="仿宋_GB2312"/>
          <w:sz w:val="32"/>
        </w:rPr>
        <w:t>七、2021年度政府性基金预算财政拨款收入支出决算表</w:t>
      </w:r>
    </w:p>
    <w:p>
      <w:pPr>
        <w:pStyle w:val="8"/>
        <w:spacing w:line="560" w:lineRule="exact"/>
        <w:rPr>
          <w:rFonts w:hint="default" w:ascii="仿宋_GB2312" w:eastAsia="仿宋_GB2312"/>
          <w:sz w:val="32"/>
        </w:rPr>
      </w:pPr>
      <w:r>
        <w:rPr>
          <w:rFonts w:ascii="仿宋_GB2312" w:eastAsia="仿宋_GB2312"/>
          <w:sz w:val="32"/>
        </w:rPr>
        <w:t>八、2021年度一般公共预算财政拨款“三公”经费支出决算表</w:t>
      </w:r>
    </w:p>
    <w:p>
      <w:pPr>
        <w:pStyle w:val="8"/>
        <w:spacing w:line="560" w:lineRule="exact"/>
        <w:rPr>
          <w:rFonts w:hint="default" w:ascii="仿宋_GB2312" w:eastAsia="仿宋_GB2312"/>
          <w:sz w:val="32"/>
        </w:rPr>
      </w:pPr>
      <w:r>
        <w:rPr>
          <w:rFonts w:ascii="仿宋_GB2312" w:eastAsia="仿宋_GB2312"/>
          <w:sz w:val="32"/>
        </w:rPr>
        <w:t>九、2021年度国有资本经营预算财政拨款支出决算表</w:t>
      </w:r>
    </w:p>
    <w:p>
      <w:pPr>
        <w:pStyle w:val="8"/>
        <w:spacing w:line="560" w:lineRule="exact"/>
        <w:jc w:val="center"/>
        <w:rPr>
          <w:rFonts w:hint="default"/>
          <w:b/>
          <w:sz w:val="36"/>
        </w:rPr>
      </w:pPr>
    </w:p>
    <w:p>
      <w:pPr>
        <w:spacing w:line="560" w:lineRule="exact"/>
        <w:jc w:val="center"/>
        <w:rPr>
          <w:rFonts w:ascii="宋体" w:hAnsi="宋体"/>
          <w:b/>
          <w:sz w:val="36"/>
        </w:rPr>
      </w:pPr>
    </w:p>
    <w:p>
      <w:pPr>
        <w:spacing w:line="560" w:lineRule="exact"/>
        <w:jc w:val="center"/>
        <w:rPr>
          <w:rFonts w:ascii="宋体" w:hAnsi="宋体"/>
          <w:b/>
          <w:sz w:val="36"/>
        </w:rPr>
      </w:pPr>
    </w:p>
    <w:p>
      <w:pPr>
        <w:spacing w:line="560" w:lineRule="exact"/>
        <w:jc w:val="center"/>
        <w:rPr>
          <w:rFonts w:ascii="宋体"/>
          <w:b/>
          <w:sz w:val="36"/>
        </w:rPr>
      </w:pPr>
      <w:r>
        <w:rPr>
          <w:rFonts w:ascii="宋体" w:hAnsi="宋体"/>
          <w:b/>
          <w:sz w:val="36"/>
        </w:rPr>
        <w:t>第一部分 沈阳市体育局概况</w:t>
      </w:r>
    </w:p>
    <w:p>
      <w:pPr>
        <w:spacing w:line="560" w:lineRule="exact"/>
        <w:ind w:firstLine="640" w:firstLineChars="200"/>
        <w:rPr>
          <w:rFonts w:ascii="黑体" w:eastAsia="黑体"/>
          <w:sz w:val="32"/>
        </w:rPr>
      </w:pPr>
    </w:p>
    <w:p>
      <w:pPr>
        <w:spacing w:line="560" w:lineRule="exact"/>
        <w:ind w:firstLine="640" w:firstLineChars="200"/>
        <w:rPr>
          <w:rFonts w:ascii="黑体" w:eastAsia="黑体"/>
          <w:sz w:val="32"/>
        </w:rPr>
      </w:pPr>
      <w:r>
        <w:rPr>
          <w:rFonts w:ascii="黑体" w:eastAsia="黑体"/>
          <w:sz w:val="32"/>
        </w:rPr>
        <w:t>一、主要职责</w:t>
      </w:r>
    </w:p>
    <w:p>
      <w:pPr>
        <w:spacing w:line="360" w:lineRule="auto"/>
        <w:ind w:firstLine="640" w:firstLineChars="200"/>
        <w:jc w:val="left"/>
        <w:rPr>
          <w:rFonts w:ascii="仿宋" w:hAnsi="仿宋" w:eastAsia="仿宋"/>
          <w:sz w:val="32"/>
          <w:szCs w:val="32"/>
        </w:rPr>
      </w:pPr>
      <w:r>
        <w:rPr>
          <w:rFonts w:ascii="仿宋" w:hAnsi="仿宋" w:eastAsia="仿宋"/>
          <w:sz w:val="32"/>
          <w:szCs w:val="32"/>
        </w:rPr>
        <w:t>（一）沈阳市体育局的主要职能是贯彻执行国家、省、市关于体育工作的方针、政策和法律、法规、规章，研究拟定全市体育工作有关政策，起草我市地方性体育法规和政府规章草案并负责监督实施。</w:t>
      </w:r>
    </w:p>
    <w:p>
      <w:pPr>
        <w:spacing w:line="360" w:lineRule="auto"/>
        <w:ind w:firstLine="640" w:firstLineChars="200"/>
        <w:jc w:val="left"/>
        <w:rPr>
          <w:rFonts w:ascii="仿宋" w:hAnsi="仿宋" w:eastAsia="仿宋"/>
          <w:sz w:val="32"/>
          <w:szCs w:val="32"/>
        </w:rPr>
      </w:pPr>
      <w:r>
        <w:rPr>
          <w:rFonts w:ascii="仿宋" w:hAnsi="仿宋" w:eastAsia="仿宋"/>
          <w:sz w:val="32"/>
          <w:szCs w:val="32"/>
        </w:rPr>
        <w:t>（二）研究编制全市体育事业发展中长期规划和年度计划并组织实施，指导和推动全市体育体</w:t>
      </w:r>
      <w:r>
        <w:rPr>
          <w:rFonts w:hint="eastAsia" w:ascii="仿宋" w:hAnsi="仿宋" w:eastAsia="仿宋"/>
          <w:sz w:val="32"/>
          <w:szCs w:val="32"/>
          <w:lang w:eastAsia="zh-CN"/>
        </w:rPr>
        <w:t>制</w:t>
      </w:r>
      <w:r>
        <w:rPr>
          <w:rFonts w:ascii="仿宋" w:hAnsi="仿宋" w:eastAsia="仿宋"/>
          <w:sz w:val="32"/>
          <w:szCs w:val="32"/>
        </w:rPr>
        <w:t>改革工作。</w:t>
      </w:r>
    </w:p>
    <w:p>
      <w:pPr>
        <w:spacing w:line="360" w:lineRule="auto"/>
        <w:ind w:firstLine="640" w:firstLineChars="200"/>
        <w:jc w:val="left"/>
        <w:rPr>
          <w:rFonts w:ascii="仿宋" w:hAnsi="仿宋" w:eastAsia="仿宋"/>
          <w:sz w:val="32"/>
          <w:szCs w:val="32"/>
        </w:rPr>
      </w:pPr>
      <w:r>
        <w:rPr>
          <w:rFonts w:ascii="仿宋" w:hAnsi="仿宋" w:eastAsia="仿宋"/>
          <w:sz w:val="32"/>
          <w:szCs w:val="32"/>
        </w:rPr>
        <w:t>（三）推行全民健身计划，指导并开展群众性体育活动，落实国家体育锻炼标准，开展国民体质监测和全民健身活动状况调查，拟订全市青少年体育发展规划，指导和推动学校体育、农村体育、城市体育及其他社会体育的发展，拟订健身气功管理的政策法规并监督实施。</w:t>
      </w:r>
    </w:p>
    <w:p>
      <w:pPr>
        <w:spacing w:line="360" w:lineRule="auto"/>
        <w:ind w:firstLine="640" w:firstLineChars="200"/>
        <w:jc w:val="left"/>
        <w:rPr>
          <w:rFonts w:ascii="仿宋" w:hAnsi="仿宋" w:eastAsia="仿宋"/>
          <w:sz w:val="32"/>
          <w:szCs w:val="32"/>
        </w:rPr>
      </w:pPr>
      <w:r>
        <w:rPr>
          <w:rFonts w:ascii="仿宋" w:hAnsi="仿宋" w:eastAsia="仿宋"/>
          <w:sz w:val="32"/>
          <w:szCs w:val="32"/>
        </w:rPr>
        <w:t>（四）组队全市综合性体育竞赛工作，完成国家、省、市交办的国际、国内体育竞赛任务。</w:t>
      </w:r>
    </w:p>
    <w:p>
      <w:pPr>
        <w:spacing w:line="360" w:lineRule="auto"/>
        <w:ind w:firstLine="640" w:firstLineChars="200"/>
        <w:jc w:val="left"/>
        <w:rPr>
          <w:rFonts w:ascii="仿宋" w:hAnsi="仿宋" w:eastAsia="仿宋"/>
          <w:sz w:val="32"/>
          <w:szCs w:val="32"/>
        </w:rPr>
      </w:pPr>
      <w:r>
        <w:rPr>
          <w:rFonts w:ascii="仿宋" w:hAnsi="仿宋" w:eastAsia="仿宋"/>
          <w:sz w:val="32"/>
          <w:szCs w:val="32"/>
        </w:rPr>
        <w:t>（五）制定全市竞技体育的发展规划，统筹规划全市体育竞赛、竞技运动项目和体育优秀运动队的设置、梯队建设、重点布局工作，指导体育队伍的思想政治工作，组织开展反兴奋剂工作。</w:t>
      </w:r>
    </w:p>
    <w:p>
      <w:pPr>
        <w:spacing w:line="360" w:lineRule="auto"/>
        <w:ind w:firstLine="640" w:firstLineChars="200"/>
        <w:jc w:val="left"/>
        <w:rPr>
          <w:rFonts w:ascii="仿宋" w:hAnsi="仿宋" w:eastAsia="仿宋"/>
          <w:sz w:val="32"/>
          <w:szCs w:val="32"/>
        </w:rPr>
      </w:pPr>
      <w:r>
        <w:rPr>
          <w:rFonts w:ascii="仿宋" w:hAnsi="仿宋" w:eastAsia="仿宋"/>
          <w:sz w:val="32"/>
          <w:szCs w:val="32"/>
        </w:rPr>
        <w:t>（六）负责本系统体育设施的建设规划、日常管理工作，组织全市体育领域重大科研攻关和成果推广。</w:t>
      </w:r>
    </w:p>
    <w:p>
      <w:pPr>
        <w:spacing w:line="360" w:lineRule="auto"/>
        <w:ind w:firstLine="640" w:firstLineChars="200"/>
        <w:jc w:val="left"/>
        <w:rPr>
          <w:rFonts w:ascii="仿宋" w:hAnsi="仿宋" w:eastAsia="仿宋"/>
          <w:sz w:val="32"/>
          <w:szCs w:val="32"/>
        </w:rPr>
      </w:pPr>
      <w:r>
        <w:rPr>
          <w:rFonts w:ascii="仿宋" w:hAnsi="仿宋" w:eastAsia="仿宋"/>
          <w:sz w:val="32"/>
          <w:szCs w:val="32"/>
        </w:rPr>
        <w:t>（七）拟订体育产业发展政策，发展体育市场，制定体育经营活动的从业条件、审批程序和管理办法，依法管理体育市场。</w:t>
      </w:r>
    </w:p>
    <w:p>
      <w:pPr>
        <w:spacing w:line="360" w:lineRule="auto"/>
        <w:ind w:firstLine="640" w:firstLineChars="200"/>
        <w:jc w:val="left"/>
        <w:rPr>
          <w:rFonts w:ascii="仿宋" w:hAnsi="仿宋" w:eastAsia="仿宋"/>
          <w:sz w:val="32"/>
          <w:szCs w:val="32"/>
        </w:rPr>
      </w:pPr>
      <w:r>
        <w:rPr>
          <w:rFonts w:ascii="仿宋" w:hAnsi="仿宋" w:eastAsia="仿宋"/>
          <w:sz w:val="32"/>
          <w:szCs w:val="32"/>
        </w:rPr>
        <w:t>（八）管理体育外事工作，开展体育合作与交流。</w:t>
      </w:r>
    </w:p>
    <w:p>
      <w:pPr>
        <w:spacing w:line="360" w:lineRule="auto"/>
        <w:ind w:firstLine="640" w:firstLineChars="200"/>
        <w:jc w:val="left"/>
        <w:rPr>
          <w:rFonts w:ascii="仿宋" w:hAnsi="仿宋" w:eastAsia="仿宋"/>
          <w:sz w:val="32"/>
          <w:szCs w:val="32"/>
        </w:rPr>
      </w:pPr>
      <w:r>
        <w:rPr>
          <w:rFonts w:ascii="仿宋" w:hAnsi="仿宋" w:eastAsia="仿宋"/>
          <w:sz w:val="32"/>
          <w:szCs w:val="32"/>
        </w:rPr>
        <w:t>（九）负责全市体育社团组织的资格审查及日常管理工作。</w:t>
      </w:r>
    </w:p>
    <w:p>
      <w:pPr>
        <w:spacing w:line="560" w:lineRule="exact"/>
        <w:ind w:firstLine="640" w:firstLineChars="200"/>
        <w:rPr>
          <w:rFonts w:ascii="仿宋_GB2312" w:eastAsia="仿宋_GB2312" w:cs="仿宋_GB2312"/>
          <w:sz w:val="32"/>
          <w:szCs w:val="32"/>
        </w:rPr>
      </w:pPr>
      <w:r>
        <w:rPr>
          <w:rFonts w:ascii="仿宋" w:hAnsi="仿宋" w:eastAsia="仿宋"/>
          <w:sz w:val="32"/>
          <w:szCs w:val="32"/>
        </w:rPr>
        <w:t>（十）完成市政府交办的其他事项。</w:t>
      </w:r>
    </w:p>
    <w:p>
      <w:pPr>
        <w:spacing w:line="560" w:lineRule="exact"/>
        <w:ind w:firstLine="640" w:firstLineChars="200"/>
        <w:rPr>
          <w:rFonts w:ascii="黑体" w:eastAsia="黑体"/>
          <w:sz w:val="32"/>
        </w:rPr>
      </w:pPr>
      <w:r>
        <w:rPr>
          <w:rFonts w:ascii="黑体" w:eastAsia="黑体"/>
          <w:sz w:val="32"/>
        </w:rPr>
        <w:t>二、决算单位构成</w:t>
      </w:r>
    </w:p>
    <w:p>
      <w:pPr>
        <w:pStyle w:val="8"/>
        <w:spacing w:line="560" w:lineRule="exact"/>
        <w:ind w:firstLine="640" w:firstLineChars="200"/>
        <w:rPr>
          <w:rStyle w:val="7"/>
          <w:rFonts w:ascii="仿宋_GB2312" w:hAnsi="仿宋_GB2312" w:eastAsia="仿宋_GB2312" w:cs="仿宋_GB2312"/>
          <w:b w:val="0"/>
          <w:sz w:val="32"/>
          <w:szCs w:val="32"/>
        </w:rPr>
      </w:pPr>
      <w:r>
        <w:rPr>
          <w:rFonts w:ascii="仿宋_GB2312" w:hAnsi="仿宋_GB2312" w:eastAsia="仿宋_GB2312" w:cs="仿宋_GB2312"/>
          <w:sz w:val="32"/>
          <w:szCs w:val="32"/>
        </w:rPr>
        <w:t>沈阳市体育</w:t>
      </w:r>
      <w:r>
        <w:rPr>
          <w:rFonts w:hint="eastAsia" w:ascii="仿宋_GB2312" w:hAnsi="仿宋_GB2312" w:eastAsia="仿宋_GB2312" w:cs="仿宋_GB2312"/>
          <w:sz w:val="32"/>
          <w:szCs w:val="32"/>
          <w:lang w:eastAsia="zh-CN"/>
        </w:rPr>
        <w:t>局本级</w:t>
      </w:r>
      <w:r>
        <w:rPr>
          <w:rFonts w:ascii="仿宋_GB2312" w:hAnsi="仿宋_GB2312" w:eastAsia="仿宋_GB2312" w:cs="仿宋_GB2312"/>
          <w:sz w:val="32"/>
          <w:szCs w:val="32"/>
        </w:rPr>
        <w:t>，</w:t>
      </w:r>
      <w:r>
        <w:rPr>
          <w:rStyle w:val="7"/>
          <w:rFonts w:ascii="仿宋_GB2312" w:hAnsi="仿宋_GB2312" w:eastAsia="仿宋_GB2312" w:cs="仿宋_GB2312"/>
          <w:b w:val="0"/>
          <w:sz w:val="32"/>
          <w:szCs w:val="32"/>
        </w:rPr>
        <w:t>核定人员编制</w:t>
      </w:r>
      <w:r>
        <w:rPr>
          <w:rStyle w:val="7"/>
          <w:rFonts w:hint="eastAsia" w:ascii="仿宋_GB2312" w:hAnsi="仿宋_GB2312" w:eastAsia="仿宋_GB2312" w:cs="仿宋_GB2312"/>
          <w:b w:val="0"/>
          <w:sz w:val="32"/>
          <w:szCs w:val="32"/>
          <w:lang w:val="en-US" w:eastAsia="zh-CN"/>
        </w:rPr>
        <w:t>50</w:t>
      </w:r>
      <w:r>
        <w:rPr>
          <w:rStyle w:val="7"/>
          <w:rFonts w:ascii="仿宋_GB2312" w:hAnsi="仿宋_GB2312" w:eastAsia="仿宋_GB2312" w:cs="仿宋_GB2312"/>
          <w:b w:val="0"/>
          <w:sz w:val="32"/>
          <w:szCs w:val="32"/>
        </w:rPr>
        <w:t>名</w:t>
      </w:r>
      <w:r>
        <w:rPr>
          <w:rStyle w:val="7"/>
          <w:rFonts w:hint="eastAsia" w:ascii="仿宋_GB2312" w:hAnsi="仿宋_GB2312" w:eastAsia="仿宋_GB2312" w:cs="仿宋_GB2312"/>
          <w:b w:val="0"/>
          <w:sz w:val="32"/>
          <w:szCs w:val="32"/>
          <w:lang w:val="en-US" w:eastAsia="zh-CN"/>
        </w:rPr>
        <w:t>,行政管理人员50人,工勤3人</w:t>
      </w:r>
      <w:r>
        <w:rPr>
          <w:rStyle w:val="7"/>
          <w:rFonts w:ascii="仿宋_GB2312" w:hAnsi="仿宋_GB2312" w:eastAsia="仿宋_GB2312" w:cs="仿宋_GB2312"/>
          <w:b w:val="0"/>
          <w:sz w:val="32"/>
          <w:szCs w:val="32"/>
        </w:rPr>
        <w:t>。</w:t>
      </w:r>
    </w:p>
    <w:p>
      <w:pPr>
        <w:pStyle w:val="8"/>
        <w:spacing w:line="560" w:lineRule="exact"/>
        <w:rPr>
          <w:rStyle w:val="7"/>
          <w:rFonts w:ascii="仿宋_GB2312" w:hAnsi="仿宋_GB2312" w:eastAsia="仿宋_GB2312" w:cs="仿宋_GB2312"/>
          <w:b w:val="0"/>
          <w:sz w:val="32"/>
          <w:szCs w:val="32"/>
        </w:rPr>
      </w:pPr>
    </w:p>
    <w:p>
      <w:pPr>
        <w:pStyle w:val="8"/>
        <w:spacing w:line="560" w:lineRule="exact"/>
        <w:rPr>
          <w:rStyle w:val="7"/>
          <w:rFonts w:ascii="仿宋_GB2312" w:hAnsi="仿宋_GB2312" w:eastAsia="仿宋_GB2312" w:cs="仿宋_GB2312"/>
          <w:b w:val="0"/>
          <w:sz w:val="32"/>
          <w:szCs w:val="32"/>
        </w:rPr>
      </w:pPr>
    </w:p>
    <w:p>
      <w:pPr>
        <w:pStyle w:val="8"/>
        <w:spacing w:line="560" w:lineRule="exact"/>
        <w:rPr>
          <w:rStyle w:val="7"/>
          <w:rFonts w:ascii="仿宋_GB2312" w:hAnsi="仿宋_GB2312" w:eastAsia="仿宋_GB2312" w:cs="仿宋_GB2312"/>
          <w:b w:val="0"/>
          <w:sz w:val="32"/>
          <w:szCs w:val="32"/>
        </w:rPr>
      </w:pPr>
    </w:p>
    <w:p>
      <w:pPr>
        <w:pStyle w:val="8"/>
        <w:spacing w:line="560" w:lineRule="exact"/>
        <w:rPr>
          <w:rStyle w:val="7"/>
          <w:rFonts w:ascii="仿宋_GB2312" w:hAnsi="仿宋_GB2312" w:eastAsia="仿宋_GB2312" w:cs="仿宋_GB2312"/>
          <w:b w:val="0"/>
          <w:sz w:val="32"/>
          <w:szCs w:val="32"/>
        </w:rPr>
      </w:pPr>
    </w:p>
    <w:p>
      <w:pPr>
        <w:pStyle w:val="8"/>
        <w:spacing w:line="560" w:lineRule="exact"/>
        <w:rPr>
          <w:rStyle w:val="7"/>
          <w:rFonts w:ascii="仿宋_GB2312" w:hAnsi="仿宋_GB2312" w:eastAsia="仿宋_GB2312" w:cs="仿宋_GB2312"/>
          <w:b w:val="0"/>
          <w:sz w:val="32"/>
          <w:szCs w:val="32"/>
        </w:rPr>
      </w:pPr>
    </w:p>
    <w:p>
      <w:pPr>
        <w:pStyle w:val="8"/>
        <w:spacing w:line="560" w:lineRule="exact"/>
        <w:rPr>
          <w:rStyle w:val="7"/>
          <w:rFonts w:ascii="仿宋_GB2312" w:hAnsi="仿宋_GB2312" w:eastAsia="仿宋_GB2312" w:cs="仿宋_GB2312"/>
          <w:b w:val="0"/>
          <w:sz w:val="32"/>
          <w:szCs w:val="32"/>
        </w:rPr>
      </w:pPr>
    </w:p>
    <w:p>
      <w:pPr>
        <w:pStyle w:val="8"/>
        <w:spacing w:line="560" w:lineRule="exact"/>
        <w:rPr>
          <w:rStyle w:val="7"/>
          <w:rFonts w:ascii="仿宋_GB2312" w:hAnsi="仿宋_GB2312" w:eastAsia="仿宋_GB2312" w:cs="仿宋_GB2312"/>
          <w:b w:val="0"/>
          <w:sz w:val="32"/>
          <w:szCs w:val="32"/>
        </w:rPr>
      </w:pPr>
    </w:p>
    <w:p>
      <w:pPr>
        <w:pStyle w:val="8"/>
        <w:spacing w:line="560" w:lineRule="exact"/>
        <w:rPr>
          <w:rStyle w:val="7"/>
          <w:rFonts w:ascii="仿宋_GB2312" w:hAnsi="仿宋_GB2312" w:eastAsia="仿宋_GB2312" w:cs="仿宋_GB2312"/>
          <w:b w:val="0"/>
          <w:sz w:val="32"/>
          <w:szCs w:val="32"/>
        </w:rPr>
      </w:pPr>
    </w:p>
    <w:p>
      <w:pPr>
        <w:pStyle w:val="8"/>
        <w:spacing w:line="560" w:lineRule="exact"/>
        <w:rPr>
          <w:rStyle w:val="7"/>
          <w:rFonts w:ascii="仿宋_GB2312" w:hAnsi="仿宋_GB2312" w:eastAsia="仿宋_GB2312" w:cs="仿宋_GB2312"/>
          <w:b w:val="0"/>
          <w:sz w:val="32"/>
          <w:szCs w:val="32"/>
        </w:rPr>
      </w:pPr>
    </w:p>
    <w:p>
      <w:pPr>
        <w:pStyle w:val="8"/>
        <w:spacing w:line="560" w:lineRule="exact"/>
        <w:rPr>
          <w:rStyle w:val="7"/>
          <w:rFonts w:hint="default" w:ascii="仿宋_GB2312" w:hAnsi="仿宋_GB2312" w:eastAsia="仿宋_GB2312" w:cs="仿宋_GB2312"/>
          <w:b w:val="0"/>
          <w:sz w:val="32"/>
          <w:szCs w:val="32"/>
        </w:rPr>
      </w:pPr>
    </w:p>
    <w:p>
      <w:pPr>
        <w:pStyle w:val="8"/>
        <w:spacing w:line="560" w:lineRule="exact"/>
        <w:rPr>
          <w:rFonts w:hint="default"/>
          <w:b/>
          <w:sz w:val="36"/>
        </w:rPr>
      </w:pPr>
    </w:p>
    <w:p>
      <w:pPr>
        <w:pStyle w:val="8"/>
        <w:spacing w:line="560" w:lineRule="exact"/>
        <w:rPr>
          <w:rFonts w:hint="default"/>
          <w:b/>
          <w:sz w:val="36"/>
        </w:rPr>
      </w:pPr>
    </w:p>
    <w:p>
      <w:pPr>
        <w:pStyle w:val="8"/>
        <w:spacing w:line="560" w:lineRule="exact"/>
        <w:rPr>
          <w:rFonts w:hint="default"/>
          <w:b/>
          <w:sz w:val="36"/>
        </w:rPr>
      </w:pPr>
    </w:p>
    <w:p>
      <w:pPr>
        <w:pStyle w:val="8"/>
        <w:spacing w:line="560" w:lineRule="exact"/>
        <w:rPr>
          <w:rFonts w:hint="default"/>
          <w:b/>
          <w:sz w:val="36"/>
        </w:rPr>
      </w:pPr>
    </w:p>
    <w:p>
      <w:pPr>
        <w:pStyle w:val="8"/>
        <w:spacing w:line="560" w:lineRule="exact"/>
        <w:rPr>
          <w:rFonts w:hint="default"/>
          <w:b/>
          <w:sz w:val="36"/>
        </w:rPr>
      </w:pPr>
    </w:p>
    <w:p>
      <w:pPr>
        <w:pStyle w:val="8"/>
        <w:spacing w:line="560" w:lineRule="exact"/>
        <w:jc w:val="center"/>
        <w:rPr>
          <w:rFonts w:hint="default"/>
          <w:b/>
          <w:sz w:val="36"/>
        </w:rPr>
      </w:pPr>
    </w:p>
    <w:p>
      <w:pPr>
        <w:pStyle w:val="8"/>
        <w:numPr>
          <w:ilvl w:val="0"/>
          <w:numId w:val="2"/>
        </w:numPr>
        <w:spacing w:line="560" w:lineRule="exact"/>
        <w:jc w:val="center"/>
        <w:rPr>
          <w:rFonts w:hint="eastAsia"/>
          <w:b/>
          <w:sz w:val="36"/>
          <w:lang w:eastAsia="zh-CN"/>
        </w:rPr>
      </w:pPr>
      <w:r>
        <w:rPr>
          <w:rFonts w:hint="eastAsia"/>
          <w:b/>
          <w:sz w:val="36"/>
          <w:lang w:eastAsia="zh-CN"/>
        </w:rPr>
        <w:t>沈阳市体育局本级</w:t>
      </w:r>
    </w:p>
    <w:p>
      <w:pPr>
        <w:pStyle w:val="8"/>
        <w:spacing w:line="560" w:lineRule="exact"/>
        <w:jc w:val="center"/>
        <w:rPr>
          <w:rFonts w:hint="default"/>
          <w:b/>
          <w:sz w:val="36"/>
        </w:rPr>
      </w:pPr>
      <w:r>
        <w:rPr>
          <w:b/>
          <w:sz w:val="36"/>
        </w:rPr>
        <w:t>2021年部门决算情况说明</w:t>
      </w:r>
    </w:p>
    <w:p>
      <w:pPr>
        <w:pStyle w:val="8"/>
        <w:spacing w:line="560" w:lineRule="exact"/>
        <w:ind w:firstLine="640" w:firstLineChars="200"/>
        <w:rPr>
          <w:rFonts w:hint="default" w:ascii="黑体" w:eastAsia="黑体"/>
          <w:sz w:val="32"/>
        </w:rPr>
      </w:pPr>
    </w:p>
    <w:p>
      <w:pPr>
        <w:pStyle w:val="8"/>
        <w:spacing w:line="560" w:lineRule="exact"/>
        <w:ind w:firstLine="640" w:firstLineChars="200"/>
        <w:rPr>
          <w:rFonts w:hint="default" w:ascii="黑体" w:eastAsia="黑体"/>
          <w:sz w:val="32"/>
        </w:rPr>
      </w:pPr>
      <w:r>
        <w:rPr>
          <w:rFonts w:ascii="黑体" w:eastAsia="黑体"/>
          <w:sz w:val="32"/>
        </w:rPr>
        <w:t>一、收入支出决算总体情况说明</w:t>
      </w:r>
    </w:p>
    <w:p>
      <w:pPr>
        <w:pStyle w:val="8"/>
        <w:spacing w:line="560" w:lineRule="exact"/>
        <w:ind w:firstLine="660"/>
        <w:rPr>
          <w:rFonts w:hint="default" w:ascii="楷体_GB2312" w:eastAsia="楷体_GB2312"/>
          <w:b/>
          <w:sz w:val="32"/>
        </w:rPr>
      </w:pPr>
      <w:r>
        <w:rPr>
          <w:rFonts w:ascii="楷体_GB2312" w:eastAsia="楷体_GB2312"/>
          <w:b/>
          <w:sz w:val="32"/>
        </w:rPr>
        <w:t>（一）收入总计</w:t>
      </w:r>
      <w:r>
        <w:rPr>
          <w:rFonts w:hint="eastAsia" w:ascii="楷体_GB2312" w:eastAsia="楷体_GB2312"/>
          <w:b/>
          <w:sz w:val="32"/>
          <w:lang w:val="en-US" w:eastAsia="zh-CN"/>
        </w:rPr>
        <w:t>5756.64</w:t>
      </w:r>
      <w:r>
        <w:rPr>
          <w:rFonts w:ascii="楷体_GB2312" w:eastAsia="楷体_GB2312"/>
          <w:b/>
          <w:sz w:val="32"/>
        </w:rPr>
        <w:t>万元，包括：</w:t>
      </w:r>
    </w:p>
    <w:p>
      <w:pPr>
        <w:pStyle w:val="8"/>
        <w:spacing w:line="560" w:lineRule="exact"/>
        <w:ind w:firstLine="660"/>
        <w:rPr>
          <w:rFonts w:hint="default" w:ascii="仿宋_GB2312" w:eastAsia="仿宋_GB2312"/>
          <w:sz w:val="32"/>
        </w:rPr>
      </w:pPr>
      <w:r>
        <w:rPr>
          <w:rFonts w:ascii="仿宋_GB2312" w:eastAsia="仿宋_GB2312"/>
          <w:sz w:val="32"/>
        </w:rPr>
        <w:t>1.财政拨款收入</w:t>
      </w:r>
      <w:r>
        <w:rPr>
          <w:rFonts w:hint="eastAsia" w:ascii="仿宋_GB2312" w:eastAsia="仿宋_GB2312"/>
          <w:sz w:val="32"/>
          <w:lang w:val="en-US" w:eastAsia="zh-CN"/>
        </w:rPr>
        <w:t>4128.65</w:t>
      </w:r>
      <w:r>
        <w:rPr>
          <w:rFonts w:ascii="仿宋_GB2312" w:eastAsia="仿宋_GB2312"/>
          <w:sz w:val="32"/>
        </w:rPr>
        <w:t>万元，占收入总计的</w:t>
      </w:r>
      <w:r>
        <w:rPr>
          <w:rFonts w:hint="eastAsia" w:ascii="仿宋_GB2312" w:eastAsia="仿宋_GB2312"/>
          <w:sz w:val="32"/>
          <w:lang w:val="en-US" w:eastAsia="zh-CN"/>
        </w:rPr>
        <w:t>72</w:t>
      </w:r>
      <w:r>
        <w:rPr>
          <w:rFonts w:ascii="仿宋_GB2312" w:eastAsia="仿宋_GB2312"/>
          <w:sz w:val="32"/>
        </w:rPr>
        <w:t>%。其中：一般公共预算财政拨款收入</w:t>
      </w:r>
      <w:r>
        <w:rPr>
          <w:rFonts w:hint="eastAsia" w:ascii="仿宋_GB2312" w:eastAsia="仿宋_GB2312"/>
          <w:sz w:val="32"/>
          <w:lang w:val="en-US" w:eastAsia="zh-CN"/>
        </w:rPr>
        <w:t>2522.61</w:t>
      </w:r>
      <w:r>
        <w:rPr>
          <w:rFonts w:ascii="仿宋_GB2312" w:eastAsia="仿宋_GB2312"/>
          <w:sz w:val="32"/>
        </w:rPr>
        <w:t>万元，政府性基金收入</w:t>
      </w:r>
      <w:r>
        <w:rPr>
          <w:rFonts w:hint="eastAsia" w:ascii="仿宋_GB2312" w:eastAsia="仿宋_GB2312"/>
          <w:sz w:val="32"/>
          <w:lang w:val="en-US" w:eastAsia="zh-CN"/>
        </w:rPr>
        <w:t>1606.04</w:t>
      </w:r>
      <w:r>
        <w:rPr>
          <w:rFonts w:ascii="仿宋_GB2312" w:eastAsia="仿宋_GB2312"/>
          <w:sz w:val="32"/>
        </w:rPr>
        <w:t>万元，国有资本经营预算财政拨款收入</w:t>
      </w:r>
      <w:r>
        <w:rPr>
          <w:rFonts w:hint="eastAsia" w:ascii="仿宋_GB2312" w:eastAsia="仿宋_GB2312"/>
          <w:sz w:val="32"/>
          <w:lang w:val="en-US" w:eastAsia="zh-CN"/>
        </w:rPr>
        <w:t>0</w:t>
      </w:r>
      <w:r>
        <w:rPr>
          <w:rFonts w:ascii="仿宋_GB2312" w:eastAsia="仿宋_GB2312"/>
          <w:sz w:val="32"/>
        </w:rPr>
        <w:t>万元。</w:t>
      </w:r>
    </w:p>
    <w:p>
      <w:pPr>
        <w:pStyle w:val="8"/>
        <w:spacing w:line="560" w:lineRule="exact"/>
        <w:ind w:firstLine="660"/>
        <w:rPr>
          <w:rFonts w:ascii="仿宋_GB2312" w:eastAsia="仿宋_GB2312"/>
          <w:sz w:val="32"/>
        </w:rPr>
      </w:pPr>
      <w:r>
        <w:rPr>
          <w:rFonts w:ascii="仿宋_GB2312" w:eastAsia="仿宋_GB2312"/>
          <w:sz w:val="32"/>
        </w:rPr>
        <w:t>2.上级补助收入</w:t>
      </w:r>
      <w:r>
        <w:rPr>
          <w:rFonts w:hint="eastAsia" w:ascii="仿宋_GB2312" w:eastAsia="仿宋_GB2312"/>
          <w:sz w:val="32"/>
          <w:lang w:val="en-US" w:eastAsia="zh-CN"/>
        </w:rPr>
        <w:t>0</w:t>
      </w:r>
      <w:r>
        <w:rPr>
          <w:rFonts w:ascii="仿宋_GB2312" w:eastAsia="仿宋_GB2312"/>
          <w:sz w:val="32"/>
        </w:rPr>
        <w:t>万元，占收入总计的</w:t>
      </w:r>
      <w:r>
        <w:rPr>
          <w:rFonts w:hint="eastAsia" w:ascii="仿宋_GB2312" w:eastAsia="仿宋_GB2312"/>
          <w:sz w:val="32"/>
          <w:lang w:val="en-US" w:eastAsia="zh-CN"/>
        </w:rPr>
        <w:t>0</w:t>
      </w:r>
      <w:r>
        <w:rPr>
          <w:rFonts w:ascii="仿宋_GB2312" w:eastAsia="仿宋_GB2312"/>
          <w:sz w:val="32"/>
        </w:rPr>
        <w:t>%。</w:t>
      </w:r>
    </w:p>
    <w:p>
      <w:pPr>
        <w:pStyle w:val="8"/>
        <w:spacing w:line="560" w:lineRule="exact"/>
        <w:ind w:firstLine="660"/>
        <w:rPr>
          <w:rFonts w:ascii="仿宋_GB2312" w:eastAsia="仿宋_GB2312"/>
          <w:sz w:val="32"/>
        </w:rPr>
      </w:pPr>
      <w:r>
        <w:rPr>
          <w:rFonts w:ascii="仿宋_GB2312" w:eastAsia="仿宋_GB2312"/>
          <w:sz w:val="32"/>
        </w:rPr>
        <w:t>3.事业收入</w:t>
      </w:r>
      <w:r>
        <w:rPr>
          <w:rFonts w:hint="eastAsia" w:ascii="仿宋_GB2312" w:eastAsia="仿宋_GB2312"/>
          <w:sz w:val="32"/>
          <w:lang w:val="en-US" w:eastAsia="zh-CN"/>
        </w:rPr>
        <w:t>0</w:t>
      </w:r>
      <w:r>
        <w:rPr>
          <w:rFonts w:ascii="仿宋_GB2312" w:eastAsia="仿宋_GB2312"/>
          <w:sz w:val="32"/>
        </w:rPr>
        <w:t>万元，占收入总计的</w:t>
      </w:r>
      <w:r>
        <w:rPr>
          <w:rFonts w:hint="eastAsia" w:ascii="仿宋_GB2312" w:eastAsia="仿宋_GB2312"/>
          <w:sz w:val="32"/>
          <w:lang w:val="en-US" w:eastAsia="zh-CN"/>
        </w:rPr>
        <w:t>0</w:t>
      </w:r>
      <w:r>
        <w:rPr>
          <w:rFonts w:ascii="仿宋_GB2312" w:eastAsia="仿宋_GB2312"/>
          <w:sz w:val="32"/>
        </w:rPr>
        <w:t>%。</w:t>
      </w:r>
    </w:p>
    <w:p>
      <w:pPr>
        <w:pStyle w:val="8"/>
        <w:spacing w:line="560" w:lineRule="exact"/>
        <w:ind w:firstLine="660"/>
        <w:rPr>
          <w:rFonts w:ascii="仿宋_GB2312" w:eastAsia="仿宋_GB2312"/>
          <w:sz w:val="32"/>
        </w:rPr>
      </w:pPr>
      <w:r>
        <w:rPr>
          <w:rFonts w:ascii="仿宋_GB2312" w:eastAsia="仿宋_GB2312"/>
          <w:sz w:val="32"/>
        </w:rPr>
        <w:t>4.经营收入</w:t>
      </w:r>
      <w:r>
        <w:rPr>
          <w:rFonts w:hint="eastAsia" w:ascii="仿宋_GB2312" w:eastAsia="仿宋_GB2312"/>
          <w:sz w:val="32"/>
          <w:lang w:val="en-US" w:eastAsia="zh-CN"/>
        </w:rPr>
        <w:t>0</w:t>
      </w:r>
      <w:r>
        <w:rPr>
          <w:rFonts w:ascii="仿宋_GB2312" w:eastAsia="仿宋_GB2312"/>
          <w:sz w:val="32"/>
        </w:rPr>
        <w:t>万元，占收入总计的</w:t>
      </w:r>
      <w:r>
        <w:rPr>
          <w:rFonts w:hint="eastAsia" w:ascii="仿宋_GB2312" w:eastAsia="仿宋_GB2312"/>
          <w:sz w:val="32"/>
          <w:lang w:val="en-US" w:eastAsia="zh-CN"/>
        </w:rPr>
        <w:t>0</w:t>
      </w:r>
      <w:r>
        <w:rPr>
          <w:rFonts w:ascii="仿宋_GB2312" w:eastAsia="仿宋_GB2312"/>
          <w:sz w:val="32"/>
        </w:rPr>
        <w:t>%。</w:t>
      </w:r>
    </w:p>
    <w:p>
      <w:pPr>
        <w:pStyle w:val="8"/>
        <w:spacing w:line="560" w:lineRule="exact"/>
        <w:ind w:firstLine="660"/>
        <w:rPr>
          <w:rFonts w:hint="default" w:ascii="仿宋_GB2312" w:eastAsia="仿宋_GB2312"/>
          <w:sz w:val="32"/>
        </w:rPr>
      </w:pPr>
      <w:r>
        <w:rPr>
          <w:rFonts w:ascii="仿宋_GB2312" w:eastAsia="仿宋_GB2312"/>
          <w:sz w:val="32"/>
        </w:rPr>
        <w:t>5.附属单位上缴收入</w:t>
      </w:r>
      <w:r>
        <w:rPr>
          <w:rFonts w:hint="eastAsia" w:ascii="仿宋_GB2312" w:eastAsia="仿宋_GB2312"/>
          <w:sz w:val="32"/>
          <w:lang w:val="en-US" w:eastAsia="zh-CN"/>
        </w:rPr>
        <w:t>0</w:t>
      </w:r>
      <w:r>
        <w:rPr>
          <w:rFonts w:ascii="仿宋_GB2312" w:eastAsia="仿宋_GB2312"/>
          <w:sz w:val="32"/>
        </w:rPr>
        <w:t>万元，占收入总计的</w:t>
      </w:r>
      <w:r>
        <w:rPr>
          <w:rFonts w:hint="eastAsia" w:ascii="仿宋_GB2312" w:eastAsia="仿宋_GB2312"/>
          <w:sz w:val="32"/>
          <w:lang w:val="en-US" w:eastAsia="zh-CN"/>
        </w:rPr>
        <w:t>0</w:t>
      </w:r>
      <w:r>
        <w:rPr>
          <w:rFonts w:ascii="仿宋_GB2312" w:eastAsia="仿宋_GB2312"/>
          <w:sz w:val="32"/>
        </w:rPr>
        <w:t>%。</w:t>
      </w:r>
    </w:p>
    <w:p>
      <w:pPr>
        <w:pStyle w:val="8"/>
        <w:spacing w:line="560" w:lineRule="exact"/>
        <w:ind w:firstLine="660"/>
        <w:rPr>
          <w:rFonts w:hint="default" w:ascii="仿宋_GB2312" w:eastAsia="仿宋_GB2312"/>
          <w:sz w:val="32"/>
        </w:rPr>
      </w:pPr>
      <w:r>
        <w:rPr>
          <w:rFonts w:ascii="仿宋_GB2312" w:eastAsia="仿宋_GB2312"/>
          <w:sz w:val="32"/>
        </w:rPr>
        <w:t>6.其他收入</w:t>
      </w:r>
      <w:r>
        <w:rPr>
          <w:rFonts w:hint="eastAsia" w:ascii="仿宋_GB2312" w:eastAsia="仿宋_GB2312"/>
          <w:sz w:val="32"/>
          <w:lang w:val="en-US" w:eastAsia="zh-CN"/>
        </w:rPr>
        <w:t>0</w:t>
      </w:r>
      <w:r>
        <w:rPr>
          <w:rFonts w:ascii="仿宋_GB2312" w:eastAsia="仿宋_GB2312"/>
          <w:sz w:val="32"/>
        </w:rPr>
        <w:t>万元，占收入总计的</w:t>
      </w:r>
      <w:r>
        <w:rPr>
          <w:rFonts w:hint="eastAsia" w:ascii="仿宋_GB2312" w:eastAsia="仿宋_GB2312"/>
          <w:sz w:val="32"/>
          <w:lang w:val="en-US" w:eastAsia="zh-CN"/>
        </w:rPr>
        <w:t>0</w:t>
      </w:r>
      <w:r>
        <w:rPr>
          <w:rFonts w:ascii="仿宋_GB2312" w:eastAsia="仿宋_GB2312"/>
          <w:sz w:val="32"/>
        </w:rPr>
        <w:t>%。</w:t>
      </w:r>
    </w:p>
    <w:p>
      <w:pPr>
        <w:pStyle w:val="8"/>
        <w:spacing w:line="560" w:lineRule="exact"/>
        <w:ind w:firstLine="660"/>
        <w:rPr>
          <w:rFonts w:hint="default" w:ascii="仿宋_GB2312" w:eastAsia="仿宋_GB2312"/>
          <w:sz w:val="32"/>
        </w:rPr>
      </w:pPr>
      <w:r>
        <w:rPr>
          <w:rFonts w:ascii="仿宋_GB2312" w:eastAsia="仿宋_GB2312"/>
          <w:sz w:val="32"/>
        </w:rPr>
        <w:t>7.使用非财政拨款结余</w:t>
      </w:r>
      <w:r>
        <w:rPr>
          <w:rFonts w:hint="eastAsia" w:ascii="仿宋_GB2312" w:eastAsia="仿宋_GB2312"/>
          <w:sz w:val="32"/>
          <w:lang w:val="en-US" w:eastAsia="zh-CN"/>
        </w:rPr>
        <w:t>0</w:t>
      </w:r>
      <w:r>
        <w:rPr>
          <w:rFonts w:ascii="仿宋_GB2312" w:eastAsia="仿宋_GB2312"/>
          <w:sz w:val="32"/>
        </w:rPr>
        <w:t>万元，占收入总计的</w:t>
      </w:r>
      <w:r>
        <w:rPr>
          <w:rFonts w:hint="eastAsia" w:ascii="仿宋_GB2312" w:eastAsia="仿宋_GB2312"/>
          <w:sz w:val="32"/>
          <w:lang w:val="en-US" w:eastAsia="zh-CN"/>
        </w:rPr>
        <w:t>0</w:t>
      </w:r>
      <w:r>
        <w:rPr>
          <w:rFonts w:ascii="仿宋_GB2312" w:eastAsia="仿宋_GB2312"/>
          <w:sz w:val="32"/>
        </w:rPr>
        <w:t>%。</w:t>
      </w:r>
    </w:p>
    <w:p>
      <w:pPr>
        <w:pStyle w:val="8"/>
        <w:spacing w:line="560" w:lineRule="exact"/>
        <w:ind w:firstLine="660"/>
        <w:rPr>
          <w:rFonts w:hint="default" w:ascii="仿宋_GB2312" w:eastAsia="仿宋_GB2312"/>
          <w:sz w:val="32"/>
        </w:rPr>
      </w:pPr>
      <w:r>
        <w:rPr>
          <w:rFonts w:ascii="仿宋_GB2312" w:eastAsia="仿宋_GB2312"/>
          <w:sz w:val="32"/>
        </w:rPr>
        <w:t>8.上年结转和结余</w:t>
      </w:r>
      <w:r>
        <w:rPr>
          <w:rFonts w:hint="eastAsia" w:ascii="仿宋_GB2312" w:eastAsia="仿宋_GB2312"/>
          <w:sz w:val="32"/>
          <w:lang w:val="en-US" w:eastAsia="zh-CN"/>
        </w:rPr>
        <w:t>1627.99</w:t>
      </w:r>
      <w:r>
        <w:rPr>
          <w:rFonts w:ascii="仿宋_GB2312" w:eastAsia="仿宋_GB2312"/>
          <w:sz w:val="32"/>
        </w:rPr>
        <w:t>万元，占收入总计的</w:t>
      </w:r>
      <w:r>
        <w:rPr>
          <w:rFonts w:hint="eastAsia" w:ascii="仿宋_GB2312" w:eastAsia="仿宋_GB2312"/>
          <w:sz w:val="32"/>
          <w:lang w:val="en-US" w:eastAsia="zh-CN"/>
        </w:rPr>
        <w:t>28</w:t>
      </w:r>
      <w:r>
        <w:rPr>
          <w:rFonts w:ascii="仿宋_GB2312" w:eastAsia="仿宋_GB2312"/>
          <w:sz w:val="32"/>
        </w:rPr>
        <w:t>%。主要是</w:t>
      </w:r>
      <w:r>
        <w:rPr>
          <w:rFonts w:hint="eastAsia" w:ascii="仿宋_GB2312" w:eastAsia="仿宋_GB2312"/>
          <w:sz w:val="32"/>
          <w:highlight w:val="none"/>
          <w:lang w:eastAsia="zh-CN"/>
        </w:rPr>
        <w:t>专项资金政府采购跨年项目</w:t>
      </w:r>
      <w:r>
        <w:rPr>
          <w:rFonts w:ascii="仿宋_GB2312" w:eastAsia="仿宋_GB2312"/>
          <w:sz w:val="32"/>
        </w:rPr>
        <w:t>等。</w:t>
      </w:r>
    </w:p>
    <w:p>
      <w:pPr>
        <w:pStyle w:val="8"/>
        <w:spacing w:line="560" w:lineRule="exact"/>
        <w:ind w:firstLine="660"/>
        <w:rPr>
          <w:rFonts w:hint="default" w:ascii="仿宋_GB2312" w:eastAsia="仿宋_GB2312"/>
          <w:sz w:val="32"/>
        </w:rPr>
      </w:pPr>
      <w:r>
        <w:rPr>
          <w:rFonts w:ascii="仿宋_GB2312" w:eastAsia="仿宋_GB2312"/>
          <w:sz w:val="32"/>
        </w:rPr>
        <w:t>与上年相比，今年收入增加</w:t>
      </w:r>
      <w:r>
        <w:rPr>
          <w:rFonts w:hint="eastAsia" w:ascii="仿宋_GB2312" w:eastAsia="仿宋_GB2312"/>
          <w:sz w:val="32"/>
          <w:lang w:val="en-US" w:eastAsia="zh-CN"/>
        </w:rPr>
        <w:t>696.14</w:t>
      </w:r>
      <w:r>
        <w:rPr>
          <w:rFonts w:ascii="仿宋_GB2312" w:eastAsia="仿宋_GB2312"/>
          <w:sz w:val="32"/>
        </w:rPr>
        <w:t>万元，增长</w:t>
      </w:r>
      <w:r>
        <w:rPr>
          <w:rFonts w:hint="eastAsia" w:ascii="仿宋_GB2312" w:eastAsia="仿宋_GB2312"/>
          <w:sz w:val="32"/>
          <w:lang w:val="en-US" w:eastAsia="zh-CN"/>
        </w:rPr>
        <w:t>14</w:t>
      </w:r>
      <w:r>
        <w:rPr>
          <w:rFonts w:ascii="仿宋_GB2312" w:eastAsia="仿宋_GB2312"/>
          <w:sz w:val="32"/>
        </w:rPr>
        <w:t>%，主要原因：</w:t>
      </w:r>
      <w:r>
        <w:rPr>
          <w:rFonts w:ascii="黑体" w:eastAsia="黑体"/>
          <w:sz w:val="32"/>
        </w:rPr>
        <w:t>一是</w:t>
      </w:r>
      <w:r>
        <w:rPr>
          <w:rFonts w:hint="eastAsia" w:ascii="仿宋_GB2312" w:eastAsia="仿宋_GB2312"/>
          <w:sz w:val="32"/>
          <w:lang w:eastAsia="zh-CN"/>
        </w:rPr>
        <w:t>人员增加导致基本支出增加</w:t>
      </w:r>
      <w:r>
        <w:rPr>
          <w:rFonts w:ascii="仿宋_GB2312" w:eastAsia="仿宋_GB2312"/>
          <w:sz w:val="32"/>
        </w:rPr>
        <w:t>；</w:t>
      </w:r>
      <w:r>
        <w:rPr>
          <w:rFonts w:ascii="黑体" w:eastAsia="黑体"/>
          <w:sz w:val="32"/>
        </w:rPr>
        <w:t>二是</w:t>
      </w:r>
      <w:r>
        <w:rPr>
          <w:rFonts w:hint="eastAsia" w:ascii="仿宋_GB2312" w:eastAsia="仿宋_GB2312"/>
          <w:sz w:val="32"/>
          <w:lang w:eastAsia="zh-CN"/>
        </w:rPr>
        <w:t>跨年项目增加</w:t>
      </w:r>
      <w:r>
        <w:rPr>
          <w:rFonts w:ascii="仿宋_GB2312" w:eastAsia="仿宋_GB2312"/>
          <w:sz w:val="32"/>
        </w:rPr>
        <w:t>。</w:t>
      </w:r>
    </w:p>
    <w:p>
      <w:pPr>
        <w:pStyle w:val="8"/>
        <w:spacing w:line="560" w:lineRule="exact"/>
        <w:ind w:firstLine="660"/>
        <w:rPr>
          <w:rFonts w:hint="default" w:ascii="楷体_GB2312" w:eastAsia="楷体_GB2312"/>
          <w:b/>
          <w:sz w:val="32"/>
        </w:rPr>
      </w:pPr>
      <w:r>
        <w:rPr>
          <w:rFonts w:ascii="楷体_GB2312" w:eastAsia="楷体_GB2312"/>
          <w:b/>
          <w:sz w:val="32"/>
        </w:rPr>
        <w:t>（二）支出总计</w:t>
      </w:r>
      <w:r>
        <w:rPr>
          <w:rFonts w:hint="eastAsia" w:ascii="楷体_GB2312" w:eastAsia="楷体_GB2312"/>
          <w:b/>
          <w:sz w:val="32"/>
          <w:lang w:val="en-US" w:eastAsia="zh-CN"/>
        </w:rPr>
        <w:t>5756.64</w:t>
      </w:r>
      <w:r>
        <w:rPr>
          <w:rFonts w:ascii="楷体_GB2312" w:eastAsia="楷体_GB2312"/>
          <w:b/>
          <w:sz w:val="32"/>
        </w:rPr>
        <w:t>万元，包括：</w:t>
      </w:r>
    </w:p>
    <w:p>
      <w:pPr>
        <w:pStyle w:val="8"/>
        <w:spacing w:line="560" w:lineRule="exact"/>
        <w:ind w:firstLine="660"/>
        <w:rPr>
          <w:rFonts w:hint="default" w:ascii="仿宋_GB2312" w:eastAsia="仿宋_GB2312"/>
          <w:sz w:val="32"/>
        </w:rPr>
      </w:pPr>
      <w:r>
        <w:rPr>
          <w:rFonts w:ascii="仿宋_GB2312" w:eastAsia="仿宋_GB2312"/>
          <w:sz w:val="32"/>
        </w:rPr>
        <w:t>1.基本支出</w:t>
      </w:r>
      <w:r>
        <w:rPr>
          <w:rFonts w:hint="eastAsia" w:ascii="仿宋_GB2312" w:eastAsia="仿宋_GB2312"/>
          <w:sz w:val="32"/>
          <w:lang w:val="en-US" w:eastAsia="zh-CN"/>
        </w:rPr>
        <w:t>1917.17</w:t>
      </w:r>
      <w:r>
        <w:rPr>
          <w:rFonts w:ascii="仿宋_GB2312" w:eastAsia="仿宋_GB2312"/>
          <w:sz w:val="32"/>
        </w:rPr>
        <w:t>万元，占支出总计的</w:t>
      </w:r>
      <w:r>
        <w:rPr>
          <w:rFonts w:hint="eastAsia" w:ascii="仿宋_GB2312" w:eastAsia="仿宋_GB2312"/>
          <w:sz w:val="32"/>
          <w:lang w:val="en-US" w:eastAsia="zh-CN"/>
        </w:rPr>
        <w:t>33</w:t>
      </w:r>
      <w:r>
        <w:rPr>
          <w:rFonts w:ascii="仿宋_GB2312" w:eastAsia="仿宋_GB2312"/>
          <w:sz w:val="32"/>
        </w:rPr>
        <w:t>%。主要是为保障机构正常运转、完成日常工作任务而发生的各项支出，其中：工资福利支出</w:t>
      </w:r>
      <w:r>
        <w:rPr>
          <w:rFonts w:hint="eastAsia" w:ascii="仿宋_GB2312" w:eastAsia="仿宋_GB2312"/>
          <w:sz w:val="32"/>
          <w:lang w:val="en-US" w:eastAsia="zh-CN"/>
        </w:rPr>
        <w:t>1340.91</w:t>
      </w:r>
      <w:r>
        <w:rPr>
          <w:rFonts w:ascii="仿宋_GB2312" w:eastAsia="仿宋_GB2312"/>
          <w:sz w:val="32"/>
        </w:rPr>
        <w:t>万元，对个人和家庭的补助支出</w:t>
      </w:r>
      <w:r>
        <w:rPr>
          <w:rFonts w:hint="eastAsia" w:ascii="仿宋_GB2312" w:eastAsia="仿宋_GB2312"/>
          <w:sz w:val="32"/>
          <w:lang w:val="en-US" w:eastAsia="zh-CN"/>
        </w:rPr>
        <w:t>424.19</w:t>
      </w:r>
      <w:r>
        <w:rPr>
          <w:rFonts w:ascii="仿宋_GB2312" w:eastAsia="仿宋_GB2312"/>
          <w:sz w:val="32"/>
        </w:rPr>
        <w:t>万元，商品和服务支出</w:t>
      </w:r>
      <w:r>
        <w:rPr>
          <w:rFonts w:hint="eastAsia" w:ascii="仿宋_GB2312" w:eastAsia="仿宋_GB2312"/>
          <w:sz w:val="32"/>
          <w:lang w:val="en-US" w:eastAsia="zh-CN"/>
        </w:rPr>
        <w:t>2110.1</w:t>
      </w:r>
      <w:r>
        <w:rPr>
          <w:rFonts w:ascii="仿宋_GB2312" w:eastAsia="仿宋_GB2312"/>
          <w:sz w:val="32"/>
        </w:rPr>
        <w:t>万元，</w:t>
      </w:r>
      <w:r>
        <w:rPr>
          <w:rFonts w:hint="eastAsia" w:ascii="仿宋_GB2312" w:eastAsia="仿宋_GB2312"/>
          <w:sz w:val="32"/>
          <w:lang w:eastAsia="zh-CN"/>
        </w:rPr>
        <w:t>资本性支出</w:t>
      </w:r>
      <w:r>
        <w:rPr>
          <w:rFonts w:hint="eastAsia" w:ascii="仿宋_GB2312" w:eastAsia="仿宋_GB2312"/>
          <w:sz w:val="32"/>
          <w:lang w:val="en-US" w:eastAsia="zh-CN"/>
        </w:rPr>
        <w:t>1881.45万元</w:t>
      </w:r>
      <w:r>
        <w:rPr>
          <w:rFonts w:ascii="仿宋_GB2312" w:eastAsia="仿宋_GB2312"/>
          <w:sz w:val="32"/>
        </w:rPr>
        <w:t>。</w:t>
      </w:r>
    </w:p>
    <w:p>
      <w:pPr>
        <w:pStyle w:val="8"/>
        <w:spacing w:line="560" w:lineRule="exact"/>
        <w:ind w:firstLine="660"/>
        <w:rPr>
          <w:rFonts w:hint="default" w:ascii="仿宋_GB2312" w:eastAsia="仿宋_GB2312"/>
          <w:sz w:val="32"/>
        </w:rPr>
      </w:pPr>
      <w:r>
        <w:rPr>
          <w:rFonts w:ascii="仿宋_GB2312" w:eastAsia="仿宋_GB2312"/>
          <w:sz w:val="32"/>
        </w:rPr>
        <w:t>2.项目支出</w:t>
      </w:r>
      <w:r>
        <w:rPr>
          <w:rFonts w:hint="eastAsia" w:ascii="仿宋_GB2312" w:eastAsia="仿宋_GB2312"/>
          <w:sz w:val="32"/>
          <w:lang w:val="en-US" w:eastAsia="zh-CN"/>
        </w:rPr>
        <w:t>3839.47</w:t>
      </w:r>
      <w:r>
        <w:rPr>
          <w:rFonts w:ascii="仿宋_GB2312" w:eastAsia="仿宋_GB2312"/>
          <w:sz w:val="32"/>
        </w:rPr>
        <w:t>万元，占支出总计的</w:t>
      </w:r>
      <w:r>
        <w:rPr>
          <w:rFonts w:hint="eastAsia" w:ascii="仿宋_GB2312" w:eastAsia="仿宋_GB2312"/>
          <w:sz w:val="32"/>
          <w:lang w:val="en-US" w:eastAsia="zh-CN"/>
        </w:rPr>
        <w:t>67</w:t>
      </w:r>
      <w:r>
        <w:rPr>
          <w:rFonts w:ascii="仿宋_GB2312" w:eastAsia="仿宋_GB2312"/>
          <w:sz w:val="32"/>
        </w:rPr>
        <w:t>%。主要包括XX等业务支出。</w:t>
      </w:r>
    </w:p>
    <w:p>
      <w:pPr>
        <w:pStyle w:val="8"/>
        <w:spacing w:line="560" w:lineRule="exact"/>
        <w:ind w:firstLine="660"/>
        <w:rPr>
          <w:rFonts w:ascii="仿宋_GB2312" w:eastAsia="仿宋_GB2312"/>
          <w:sz w:val="32"/>
        </w:rPr>
      </w:pPr>
      <w:r>
        <w:rPr>
          <w:rFonts w:ascii="仿宋_GB2312" w:eastAsia="仿宋_GB2312"/>
          <w:sz w:val="32"/>
        </w:rPr>
        <w:t>3.上缴上级支出</w:t>
      </w:r>
      <w:r>
        <w:rPr>
          <w:rFonts w:hint="eastAsia" w:ascii="仿宋_GB2312" w:eastAsia="仿宋_GB2312"/>
          <w:sz w:val="32"/>
          <w:lang w:val="en-US" w:eastAsia="zh-CN"/>
        </w:rPr>
        <w:t>0</w:t>
      </w:r>
      <w:r>
        <w:rPr>
          <w:rFonts w:ascii="仿宋_GB2312" w:eastAsia="仿宋_GB2312"/>
          <w:sz w:val="32"/>
        </w:rPr>
        <w:t>万元，占支出总计的</w:t>
      </w:r>
      <w:r>
        <w:rPr>
          <w:rFonts w:hint="eastAsia" w:ascii="仿宋_GB2312" w:eastAsia="仿宋_GB2312"/>
          <w:sz w:val="32"/>
          <w:lang w:val="en-US" w:eastAsia="zh-CN"/>
        </w:rPr>
        <w:t>0</w:t>
      </w:r>
      <w:r>
        <w:rPr>
          <w:rFonts w:ascii="仿宋_GB2312" w:eastAsia="仿宋_GB2312"/>
          <w:sz w:val="32"/>
        </w:rPr>
        <w:t>%。主</w:t>
      </w:r>
    </w:p>
    <w:p>
      <w:pPr>
        <w:pStyle w:val="8"/>
        <w:spacing w:line="560" w:lineRule="exact"/>
        <w:ind w:firstLine="660"/>
        <w:rPr>
          <w:rFonts w:ascii="仿宋_GB2312" w:eastAsia="仿宋_GB2312"/>
          <w:sz w:val="32"/>
        </w:rPr>
      </w:pPr>
      <w:r>
        <w:rPr>
          <w:rFonts w:ascii="仿宋_GB2312" w:eastAsia="仿宋_GB2312"/>
          <w:sz w:val="32"/>
        </w:rPr>
        <w:t>4.经营支出</w:t>
      </w:r>
      <w:r>
        <w:rPr>
          <w:rFonts w:hint="eastAsia" w:ascii="仿宋_GB2312" w:eastAsia="仿宋_GB2312"/>
          <w:sz w:val="32"/>
          <w:lang w:val="en-US" w:eastAsia="zh-CN"/>
        </w:rPr>
        <w:t>0</w:t>
      </w:r>
      <w:r>
        <w:rPr>
          <w:rFonts w:ascii="仿宋_GB2312" w:eastAsia="仿宋_GB2312"/>
          <w:sz w:val="32"/>
        </w:rPr>
        <w:t>万元，占支出总计的</w:t>
      </w:r>
      <w:r>
        <w:rPr>
          <w:rFonts w:hint="eastAsia" w:ascii="仿宋_GB2312" w:eastAsia="仿宋_GB2312"/>
          <w:sz w:val="32"/>
          <w:lang w:val="en-US" w:eastAsia="zh-CN"/>
        </w:rPr>
        <w:t>0</w:t>
      </w:r>
      <w:r>
        <w:rPr>
          <w:rFonts w:ascii="仿宋_GB2312" w:eastAsia="仿宋_GB2312"/>
          <w:sz w:val="32"/>
        </w:rPr>
        <w:t>%。</w:t>
      </w:r>
    </w:p>
    <w:p>
      <w:pPr>
        <w:pStyle w:val="8"/>
        <w:spacing w:line="560" w:lineRule="exact"/>
        <w:ind w:firstLine="660"/>
        <w:rPr>
          <w:rFonts w:ascii="仿宋_GB2312" w:eastAsia="仿宋_GB2312"/>
          <w:sz w:val="32"/>
        </w:rPr>
      </w:pPr>
      <w:r>
        <w:rPr>
          <w:rFonts w:ascii="仿宋_GB2312" w:eastAsia="仿宋_GB2312"/>
          <w:sz w:val="32"/>
        </w:rPr>
        <w:t>5.对附属单位补助支出</w:t>
      </w:r>
      <w:r>
        <w:rPr>
          <w:rFonts w:hint="eastAsia" w:ascii="仿宋_GB2312" w:eastAsia="仿宋_GB2312"/>
          <w:sz w:val="32"/>
          <w:lang w:val="en-US" w:eastAsia="zh-CN"/>
        </w:rPr>
        <w:t>0</w:t>
      </w:r>
      <w:r>
        <w:rPr>
          <w:rFonts w:ascii="仿宋_GB2312" w:eastAsia="仿宋_GB2312"/>
          <w:sz w:val="32"/>
        </w:rPr>
        <w:t>万元，占支出总计的</w:t>
      </w:r>
      <w:r>
        <w:rPr>
          <w:rFonts w:hint="eastAsia" w:ascii="仿宋_GB2312" w:eastAsia="仿宋_GB2312"/>
          <w:sz w:val="32"/>
          <w:lang w:val="en-US" w:eastAsia="zh-CN"/>
        </w:rPr>
        <w:t>0</w:t>
      </w:r>
      <w:r>
        <w:rPr>
          <w:rFonts w:ascii="仿宋_GB2312" w:eastAsia="仿宋_GB2312"/>
          <w:sz w:val="32"/>
        </w:rPr>
        <w:t>%。</w:t>
      </w:r>
    </w:p>
    <w:p>
      <w:pPr>
        <w:pStyle w:val="8"/>
        <w:keepNext w:val="0"/>
        <w:keepLines w:val="0"/>
        <w:pageBreakBefore w:val="0"/>
        <w:widowControl/>
        <w:kinsoku/>
        <w:wordWrap/>
        <w:overflowPunct/>
        <w:topLinePunct w:val="0"/>
        <w:autoSpaceDE/>
        <w:bidi w:val="0"/>
        <w:adjustRightInd/>
        <w:snapToGrid/>
        <w:spacing w:before="0" w:beforeLines="0" w:after="0" w:afterLines="0" w:line="560" w:lineRule="exact"/>
        <w:ind w:left="0" w:leftChars="0" w:right="0" w:rightChars="0" w:firstLine="660"/>
        <w:jc w:val="both"/>
        <w:textAlignment w:val="auto"/>
        <w:outlineLvl w:val="9"/>
        <w:rPr>
          <w:rFonts w:hint="default" w:ascii="仿宋_GB2312" w:eastAsia="仿宋_GB2312"/>
          <w:sz w:val="32"/>
        </w:rPr>
      </w:pPr>
      <w:r>
        <w:rPr>
          <w:rFonts w:ascii="仿宋_GB2312" w:eastAsia="仿宋_GB2312"/>
          <w:sz w:val="32"/>
        </w:rPr>
        <w:t>与上年相比，今年支出增加</w:t>
      </w:r>
      <w:r>
        <w:rPr>
          <w:rFonts w:hint="eastAsia" w:ascii="仿宋_GB2312" w:eastAsia="仿宋_GB2312"/>
          <w:sz w:val="32"/>
          <w:lang w:val="en-US" w:eastAsia="zh-CN"/>
        </w:rPr>
        <w:t>2778.38</w:t>
      </w:r>
      <w:r>
        <w:rPr>
          <w:rFonts w:ascii="仿宋_GB2312" w:eastAsia="仿宋_GB2312"/>
          <w:sz w:val="32"/>
        </w:rPr>
        <w:t>万元，增长</w:t>
      </w:r>
      <w:r>
        <w:rPr>
          <w:rFonts w:hint="eastAsia" w:ascii="仿宋_GB2312" w:eastAsia="仿宋_GB2312"/>
          <w:sz w:val="32"/>
          <w:lang w:val="en-US" w:eastAsia="zh-CN"/>
        </w:rPr>
        <w:t>93</w:t>
      </w:r>
      <w:r>
        <w:rPr>
          <w:rFonts w:ascii="仿宋_GB2312" w:eastAsia="仿宋_GB2312"/>
          <w:sz w:val="32"/>
        </w:rPr>
        <w:t>%，主要原因：</w:t>
      </w:r>
      <w:r>
        <w:rPr>
          <w:rFonts w:ascii="黑体" w:eastAsia="黑体"/>
          <w:sz w:val="32"/>
        </w:rPr>
        <w:t>一是</w:t>
      </w:r>
      <w:r>
        <w:rPr>
          <w:rFonts w:hint="eastAsia" w:ascii="仿宋_GB2312" w:eastAsia="仿宋_GB2312"/>
          <w:sz w:val="32"/>
          <w:highlight w:val="none"/>
          <w:lang w:eastAsia="zh-CN"/>
        </w:rPr>
        <w:t>预算资金下达快</w:t>
      </w:r>
      <w:r>
        <w:rPr>
          <w:rFonts w:hint="eastAsia" w:ascii="仿宋_GB2312" w:eastAsia="仿宋_GB2312"/>
          <w:sz w:val="32"/>
          <w:highlight w:val="none"/>
        </w:rPr>
        <w:t>。</w:t>
      </w:r>
      <w:r>
        <w:rPr>
          <w:rFonts w:ascii="仿宋_GB2312" w:eastAsia="仿宋_GB2312"/>
          <w:sz w:val="32"/>
        </w:rPr>
        <w:t>；</w:t>
      </w:r>
      <w:r>
        <w:rPr>
          <w:rFonts w:ascii="黑体" w:eastAsia="黑体"/>
          <w:sz w:val="32"/>
        </w:rPr>
        <w:t>二是</w:t>
      </w:r>
      <w:r>
        <w:rPr>
          <w:rFonts w:hint="eastAsia" w:ascii="仿宋_GB2312" w:eastAsia="仿宋_GB2312"/>
          <w:sz w:val="32"/>
          <w:lang w:eastAsia="zh-CN"/>
        </w:rPr>
        <w:t>项目执行率提高</w:t>
      </w:r>
      <w:r>
        <w:rPr>
          <w:rFonts w:ascii="仿宋_GB2312" w:eastAsia="仿宋_GB2312"/>
          <w:sz w:val="32"/>
        </w:rPr>
        <w:t>。</w:t>
      </w:r>
    </w:p>
    <w:p>
      <w:pPr>
        <w:pStyle w:val="8"/>
        <w:spacing w:line="560" w:lineRule="exact"/>
        <w:ind w:firstLine="660"/>
        <w:rPr>
          <w:rFonts w:hint="default" w:ascii="楷体_GB2312" w:eastAsia="楷体_GB2312"/>
          <w:b/>
          <w:sz w:val="32"/>
        </w:rPr>
      </w:pPr>
      <w:r>
        <w:rPr>
          <w:rFonts w:ascii="楷体_GB2312" w:eastAsia="楷体_GB2312"/>
          <w:b/>
          <w:sz w:val="32"/>
        </w:rPr>
        <w:t>（三）年末结转和结余</w:t>
      </w:r>
      <w:r>
        <w:rPr>
          <w:rFonts w:hint="eastAsia" w:ascii="楷体_GB2312" w:eastAsia="楷体_GB2312"/>
          <w:b/>
          <w:sz w:val="32"/>
          <w:lang w:val="en-US" w:eastAsia="zh-CN"/>
        </w:rPr>
        <w:t>0</w:t>
      </w:r>
      <w:r>
        <w:rPr>
          <w:rFonts w:ascii="楷体_GB2312" w:eastAsia="楷体_GB2312"/>
          <w:b/>
          <w:sz w:val="32"/>
        </w:rPr>
        <w:t>万元</w:t>
      </w:r>
    </w:p>
    <w:p>
      <w:pPr>
        <w:pStyle w:val="8"/>
        <w:spacing w:line="560" w:lineRule="exact"/>
        <w:ind w:firstLine="660"/>
        <w:rPr>
          <w:rFonts w:hint="default" w:ascii="黑体" w:eastAsia="黑体"/>
          <w:sz w:val="32"/>
        </w:rPr>
      </w:pPr>
      <w:r>
        <w:rPr>
          <w:rFonts w:ascii="黑体" w:eastAsia="黑体"/>
          <w:sz w:val="32"/>
        </w:rPr>
        <w:t>二、财政拨款收入支出决算情况说明</w:t>
      </w:r>
    </w:p>
    <w:p>
      <w:pPr>
        <w:pStyle w:val="8"/>
        <w:spacing w:line="560" w:lineRule="exact"/>
        <w:ind w:firstLine="660"/>
        <w:rPr>
          <w:rFonts w:hint="default" w:ascii="楷体_GB2312" w:eastAsia="楷体_GB2312"/>
          <w:b/>
          <w:sz w:val="32"/>
        </w:rPr>
      </w:pPr>
      <w:r>
        <w:rPr>
          <w:rFonts w:ascii="楷体_GB2312" w:eastAsia="楷体_GB2312"/>
          <w:b/>
          <w:sz w:val="32"/>
        </w:rPr>
        <w:t>（一）总体情况</w:t>
      </w:r>
    </w:p>
    <w:p>
      <w:pPr>
        <w:pStyle w:val="8"/>
        <w:spacing w:line="560" w:lineRule="exact"/>
        <w:ind w:firstLine="660"/>
        <w:rPr>
          <w:rFonts w:hint="default" w:ascii="仿宋_GB2312" w:eastAsia="仿宋_GB2312"/>
          <w:sz w:val="32"/>
        </w:rPr>
      </w:pPr>
      <w:r>
        <w:rPr>
          <w:rFonts w:ascii="仿宋_GB2312" w:eastAsia="仿宋_GB2312"/>
          <w:sz w:val="32"/>
        </w:rPr>
        <w:t>2021年度财政拨款支出</w:t>
      </w:r>
      <w:r>
        <w:rPr>
          <w:rFonts w:hint="eastAsia" w:ascii="仿宋_GB2312" w:eastAsia="仿宋_GB2312"/>
          <w:sz w:val="32"/>
          <w:lang w:val="en-US" w:eastAsia="zh-CN"/>
        </w:rPr>
        <w:t>5716.43</w:t>
      </w:r>
      <w:r>
        <w:rPr>
          <w:rFonts w:ascii="仿宋_GB2312" w:eastAsia="仿宋_GB2312"/>
          <w:sz w:val="32"/>
        </w:rPr>
        <w:t>万元，其中：基本支出</w:t>
      </w:r>
      <w:r>
        <w:rPr>
          <w:rFonts w:hint="eastAsia" w:ascii="仿宋_GB2312" w:eastAsia="仿宋_GB2312"/>
          <w:sz w:val="32"/>
          <w:lang w:val="en-US" w:eastAsia="zh-CN"/>
        </w:rPr>
        <w:t>1917.17</w:t>
      </w:r>
      <w:r>
        <w:rPr>
          <w:rFonts w:ascii="仿宋_GB2312" w:eastAsia="仿宋_GB2312"/>
          <w:sz w:val="32"/>
        </w:rPr>
        <w:t>万元，项目支出</w:t>
      </w:r>
      <w:r>
        <w:rPr>
          <w:rFonts w:hint="eastAsia" w:ascii="仿宋_GB2312" w:eastAsia="仿宋_GB2312"/>
          <w:sz w:val="32"/>
          <w:lang w:val="en-US" w:eastAsia="zh-CN"/>
        </w:rPr>
        <w:t>3799.26</w:t>
      </w:r>
      <w:r>
        <w:rPr>
          <w:rFonts w:ascii="仿宋_GB2312" w:eastAsia="仿宋_GB2312"/>
          <w:sz w:val="32"/>
        </w:rPr>
        <w:t>万元。与上年相比，财政拨款支出增加</w:t>
      </w:r>
      <w:r>
        <w:rPr>
          <w:rFonts w:hint="eastAsia" w:ascii="仿宋_GB2312" w:eastAsia="仿宋_GB2312"/>
          <w:sz w:val="32"/>
          <w:lang w:val="en-US" w:eastAsia="zh-CN"/>
        </w:rPr>
        <w:t>2738.17</w:t>
      </w:r>
      <w:r>
        <w:rPr>
          <w:rFonts w:ascii="仿宋_GB2312" w:eastAsia="仿宋_GB2312"/>
          <w:sz w:val="32"/>
        </w:rPr>
        <w:t>万元，增长</w:t>
      </w:r>
      <w:r>
        <w:rPr>
          <w:rFonts w:hint="eastAsia" w:ascii="仿宋_GB2312" w:eastAsia="仿宋_GB2312"/>
          <w:sz w:val="32"/>
          <w:lang w:val="en-US" w:eastAsia="zh-CN"/>
        </w:rPr>
        <w:t>92</w:t>
      </w:r>
      <w:r>
        <w:rPr>
          <w:rFonts w:ascii="仿宋_GB2312" w:eastAsia="仿宋_GB2312"/>
          <w:sz w:val="32"/>
        </w:rPr>
        <w:t>%，主要原因：</w:t>
      </w:r>
      <w:r>
        <w:rPr>
          <w:rFonts w:ascii="黑体" w:eastAsia="黑体"/>
          <w:sz w:val="32"/>
        </w:rPr>
        <w:t>一是</w:t>
      </w:r>
      <w:r>
        <w:rPr>
          <w:rFonts w:hint="eastAsia" w:ascii="仿宋_GB2312" w:eastAsia="仿宋_GB2312"/>
          <w:sz w:val="32"/>
          <w:lang w:eastAsia="zh-CN"/>
        </w:rPr>
        <w:t>人员增加导致基本支出增加</w:t>
      </w:r>
      <w:r>
        <w:rPr>
          <w:rFonts w:ascii="仿宋_GB2312" w:eastAsia="仿宋_GB2312"/>
          <w:sz w:val="32"/>
        </w:rPr>
        <w:t>；</w:t>
      </w:r>
      <w:r>
        <w:rPr>
          <w:rFonts w:ascii="黑体" w:eastAsia="黑体"/>
          <w:sz w:val="32"/>
        </w:rPr>
        <w:t>二是</w:t>
      </w:r>
      <w:r>
        <w:rPr>
          <w:rFonts w:hint="eastAsia" w:ascii="仿宋_GB2312" w:eastAsia="仿宋_GB2312"/>
          <w:sz w:val="32"/>
          <w:lang w:eastAsia="zh-CN"/>
        </w:rPr>
        <w:t>项目执行率提高</w:t>
      </w:r>
      <w:r>
        <w:rPr>
          <w:rFonts w:ascii="仿宋_GB2312" w:eastAsia="仿宋_GB2312"/>
          <w:sz w:val="32"/>
        </w:rPr>
        <w:t>。与年初预算相比，2021年度财政拨款支出完成年初预算的</w:t>
      </w:r>
      <w:r>
        <w:rPr>
          <w:rFonts w:hint="eastAsia" w:ascii="仿宋_GB2312" w:eastAsia="仿宋_GB2312"/>
          <w:sz w:val="32"/>
          <w:lang w:val="en-US" w:eastAsia="zh-CN"/>
        </w:rPr>
        <w:t>83</w:t>
      </w:r>
      <w:r>
        <w:rPr>
          <w:rFonts w:ascii="仿宋_GB2312" w:eastAsia="仿宋_GB2312"/>
          <w:sz w:val="32"/>
        </w:rPr>
        <w:t>%，其中：基本支出完成年初预算的</w:t>
      </w:r>
      <w:r>
        <w:rPr>
          <w:rFonts w:hint="eastAsia" w:ascii="仿宋_GB2312" w:eastAsia="仿宋_GB2312"/>
          <w:sz w:val="32"/>
          <w:lang w:val="en-US" w:eastAsia="zh-CN"/>
        </w:rPr>
        <w:t>172</w:t>
      </w:r>
      <w:r>
        <w:rPr>
          <w:rFonts w:ascii="仿宋_GB2312" w:eastAsia="仿宋_GB2312"/>
          <w:sz w:val="32"/>
        </w:rPr>
        <w:t>%，项目支出完成年初预算的</w:t>
      </w:r>
      <w:r>
        <w:rPr>
          <w:rFonts w:hint="eastAsia" w:ascii="仿宋_GB2312" w:eastAsia="仿宋_GB2312"/>
          <w:sz w:val="32"/>
          <w:lang w:val="en-US" w:eastAsia="zh-CN"/>
        </w:rPr>
        <w:t>66</w:t>
      </w:r>
      <w:r>
        <w:rPr>
          <w:rFonts w:ascii="仿宋_GB2312" w:eastAsia="仿宋_GB2312"/>
          <w:sz w:val="32"/>
        </w:rPr>
        <w:t>%。</w:t>
      </w:r>
    </w:p>
    <w:p>
      <w:pPr>
        <w:spacing w:line="560" w:lineRule="exact"/>
        <w:ind w:firstLine="660"/>
        <w:rPr>
          <w:rFonts w:hint="default" w:ascii="楷体_GB2312" w:hAnsi="宋体" w:eastAsia="楷体_GB2312"/>
          <w:b/>
          <w:sz w:val="32"/>
          <w:szCs w:val="32"/>
        </w:rPr>
      </w:pPr>
      <w:r>
        <w:rPr>
          <w:rFonts w:ascii="楷体_GB2312" w:hAnsi="宋体" w:eastAsia="楷体_GB2312"/>
          <w:b/>
          <w:sz w:val="32"/>
          <w:szCs w:val="32"/>
        </w:rPr>
        <w:t>（二）一般公共预算财政拨款支出情况。</w:t>
      </w:r>
    </w:p>
    <w:p>
      <w:pPr>
        <w:spacing w:line="560" w:lineRule="exact"/>
        <w:ind w:firstLine="660"/>
        <w:rPr>
          <w:rFonts w:hint="default" w:ascii="仿宋_GB2312" w:hAnsi="宋体" w:eastAsia="仿宋_GB2312"/>
          <w:sz w:val="32"/>
          <w:szCs w:val="32"/>
        </w:rPr>
      </w:pPr>
      <w:r>
        <w:rPr>
          <w:rFonts w:ascii="仿宋_GB2312" w:hAnsi="宋体" w:eastAsia="仿宋_GB2312"/>
          <w:sz w:val="32"/>
          <w:szCs w:val="32"/>
        </w:rPr>
        <w:t>2021年度一般公共预算财政拨款支出</w:t>
      </w:r>
      <w:r>
        <w:rPr>
          <w:rFonts w:hint="eastAsia" w:ascii="仿宋_GB2312" w:hAnsi="宋体" w:eastAsia="仿宋_GB2312"/>
          <w:sz w:val="32"/>
          <w:szCs w:val="32"/>
          <w:lang w:val="en-US" w:eastAsia="zh-CN"/>
        </w:rPr>
        <w:t>2531.29</w:t>
      </w:r>
      <w:r>
        <w:rPr>
          <w:rFonts w:ascii="仿宋_GB2312" w:hAnsi="宋体" w:eastAsia="仿宋_GB2312"/>
          <w:sz w:val="32"/>
          <w:szCs w:val="32"/>
        </w:rPr>
        <w:t>万元，按支出功能分类科目分，包括</w:t>
      </w:r>
      <w:r>
        <w:rPr>
          <w:rFonts w:hint="eastAsia" w:ascii="仿宋_GB2312" w:hAnsi="宋体" w:eastAsia="仿宋_GB2312"/>
          <w:sz w:val="32"/>
          <w:szCs w:val="32"/>
          <w:lang w:eastAsia="zh-CN"/>
        </w:rPr>
        <w:t>：</w:t>
      </w:r>
      <w:r>
        <w:rPr>
          <w:rFonts w:hint="eastAsia" w:ascii="仿宋_GB2312" w:hAnsi="宋体" w:eastAsia="仿宋_GB2312"/>
          <w:sz w:val="32"/>
          <w:szCs w:val="32"/>
          <w:highlight w:val="none"/>
          <w:lang w:val="en-US" w:eastAsia="zh-CN"/>
        </w:rPr>
        <w:t>文化旅游体育与传媒支出2260.75万元，占89%；社会保障和就业支出115.82万元，占5%；卫生健康支出35.02万元，占1%；住房保障支出119.7万元，占4%。</w:t>
      </w:r>
    </w:p>
    <w:p>
      <w:pPr>
        <w:keepNext w:val="0"/>
        <w:keepLines w:val="0"/>
        <w:pageBreakBefore w:val="0"/>
        <w:kinsoku/>
        <w:wordWrap/>
        <w:overflowPunct/>
        <w:topLinePunct w:val="0"/>
        <w:autoSpaceDE/>
        <w:bidi w:val="0"/>
        <w:adjustRightInd/>
        <w:snapToGrid/>
        <w:spacing w:before="0" w:beforeLines="0" w:after="0" w:afterLines="0" w:line="560" w:lineRule="exact"/>
        <w:ind w:left="0" w:leftChars="0" w:right="0" w:rightChars="0" w:firstLine="660"/>
        <w:textAlignment w:val="auto"/>
        <w:outlineLvl w:val="9"/>
        <w:rPr>
          <w:rFonts w:hint="default" w:ascii="仿宋_GB2312" w:hAnsi="宋体" w:eastAsia="仿宋_GB2312"/>
          <w:sz w:val="32"/>
          <w:szCs w:val="32"/>
          <w:highlight w:val="none"/>
          <w:lang w:val="en-US" w:eastAsia="zh-CN"/>
        </w:rPr>
      </w:pPr>
      <w:r>
        <w:rPr>
          <w:rFonts w:ascii="仿宋_GB2312" w:hAnsi="宋体" w:eastAsia="仿宋_GB2312"/>
          <w:sz w:val="32"/>
          <w:szCs w:val="32"/>
        </w:rPr>
        <w:t>1.</w:t>
      </w:r>
      <w:r>
        <w:rPr>
          <w:rFonts w:hint="eastAsia" w:ascii="仿宋_GB2312" w:hAnsi="宋体" w:eastAsia="仿宋_GB2312"/>
          <w:sz w:val="32"/>
          <w:szCs w:val="32"/>
          <w:highlight w:val="none"/>
          <w:lang w:eastAsia="zh-CN"/>
        </w:rPr>
        <w:t>文化旅游体育与传媒支出</w:t>
      </w:r>
      <w:r>
        <w:rPr>
          <w:rFonts w:hint="eastAsia" w:ascii="仿宋_GB2312" w:hAnsi="宋体" w:eastAsia="仿宋_GB2312"/>
          <w:sz w:val="32"/>
          <w:szCs w:val="32"/>
          <w:highlight w:val="none"/>
          <w:lang w:val="en-US" w:eastAsia="zh-CN"/>
        </w:rPr>
        <w:t>2260.75万元，具体包括：</w:t>
      </w:r>
    </w:p>
    <w:p>
      <w:pPr>
        <w:keepNext w:val="0"/>
        <w:keepLines w:val="0"/>
        <w:pageBreakBefore w:val="0"/>
        <w:numPr>
          <w:ilvl w:val="0"/>
          <w:numId w:val="3"/>
        </w:numPr>
        <w:kinsoku/>
        <w:wordWrap/>
        <w:overflowPunct/>
        <w:topLinePunct w:val="0"/>
        <w:autoSpaceDE/>
        <w:bidi w:val="0"/>
        <w:adjustRightInd/>
        <w:snapToGrid/>
        <w:spacing w:before="0" w:beforeLines="0" w:after="0" w:afterLines="0" w:line="560" w:lineRule="exact"/>
        <w:ind w:left="0" w:leftChars="0" w:right="0" w:rightChars="0" w:firstLine="660"/>
        <w:textAlignment w:val="auto"/>
        <w:outlineLvl w:val="9"/>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eastAsia="zh-CN"/>
        </w:rPr>
        <w:t>文化旅游体育与传媒支出（类）体育</w:t>
      </w:r>
      <w:r>
        <w:rPr>
          <w:rFonts w:hint="eastAsia" w:ascii="仿宋_GB2312" w:hAnsi="宋体" w:eastAsia="仿宋_GB2312"/>
          <w:sz w:val="32"/>
          <w:szCs w:val="32"/>
          <w:highlight w:val="none"/>
          <w:lang w:val="en-US" w:eastAsia="zh-CN"/>
        </w:rPr>
        <w:t>（款）行政运行</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项）1646.63万元，主要是人员工资。</w:t>
      </w:r>
    </w:p>
    <w:p>
      <w:pPr>
        <w:keepNext w:val="0"/>
        <w:keepLines w:val="0"/>
        <w:pageBreakBefore w:val="0"/>
        <w:numPr>
          <w:ilvl w:val="0"/>
          <w:numId w:val="3"/>
        </w:numPr>
        <w:kinsoku/>
        <w:wordWrap/>
        <w:overflowPunct/>
        <w:topLinePunct w:val="0"/>
        <w:autoSpaceDE/>
        <w:bidi w:val="0"/>
        <w:adjustRightInd/>
        <w:snapToGrid/>
        <w:spacing w:before="0" w:beforeLines="0" w:after="0" w:afterLines="0" w:line="560" w:lineRule="exact"/>
        <w:ind w:left="0" w:leftChars="0" w:right="0" w:rightChars="0" w:firstLine="660"/>
        <w:textAlignment w:val="auto"/>
        <w:outlineLvl w:val="9"/>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eastAsia="zh-CN"/>
        </w:rPr>
        <w:t>文化旅游体育与传媒支出（类）体育</w:t>
      </w:r>
      <w:r>
        <w:rPr>
          <w:rFonts w:hint="eastAsia" w:ascii="仿宋_GB2312" w:hAnsi="宋体" w:eastAsia="仿宋_GB2312"/>
          <w:sz w:val="32"/>
          <w:szCs w:val="32"/>
          <w:highlight w:val="none"/>
          <w:lang w:val="en-US" w:eastAsia="zh-CN"/>
        </w:rPr>
        <w:t>（款）一般行政管理事务（项）38.5万元，主要是机关办公楼维修。</w:t>
      </w:r>
    </w:p>
    <w:p>
      <w:pPr>
        <w:keepNext w:val="0"/>
        <w:keepLines w:val="0"/>
        <w:pageBreakBefore w:val="0"/>
        <w:numPr>
          <w:ilvl w:val="0"/>
          <w:numId w:val="3"/>
        </w:numPr>
        <w:kinsoku/>
        <w:wordWrap/>
        <w:overflowPunct/>
        <w:topLinePunct w:val="0"/>
        <w:autoSpaceDE/>
        <w:bidi w:val="0"/>
        <w:adjustRightInd/>
        <w:snapToGrid/>
        <w:spacing w:before="0" w:beforeLines="0" w:after="0" w:afterLines="0" w:line="560" w:lineRule="exact"/>
        <w:ind w:left="0" w:leftChars="0" w:right="0" w:rightChars="0" w:firstLine="660"/>
        <w:textAlignment w:val="auto"/>
        <w:outlineLvl w:val="9"/>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eastAsia="zh-CN"/>
        </w:rPr>
        <w:t>文化旅游体育与传媒支出（类）体育</w:t>
      </w:r>
      <w:r>
        <w:rPr>
          <w:rFonts w:hint="eastAsia" w:ascii="仿宋_GB2312" w:hAnsi="宋体" w:eastAsia="仿宋_GB2312"/>
          <w:sz w:val="32"/>
          <w:szCs w:val="32"/>
          <w:highlight w:val="none"/>
          <w:lang w:val="en-US" w:eastAsia="zh-CN"/>
        </w:rPr>
        <w:t>（款）其他体育支出(项）115.84万元，主要是人员津补贴。</w:t>
      </w:r>
    </w:p>
    <w:p>
      <w:pPr>
        <w:numPr>
          <w:ilvl w:val="0"/>
          <w:numId w:val="3"/>
        </w:numPr>
        <w:spacing w:line="560" w:lineRule="exact"/>
        <w:ind w:left="0" w:leftChars="0" w:firstLine="660" w:firstLineChars="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eastAsia="zh-CN"/>
        </w:rPr>
        <w:t>文化旅游体育与传媒支出（类）其他文化体育与传媒支出</w:t>
      </w:r>
      <w:r>
        <w:rPr>
          <w:rFonts w:hint="eastAsia" w:ascii="仿宋_GB2312" w:hAnsi="宋体" w:eastAsia="仿宋_GB2312"/>
          <w:sz w:val="32"/>
          <w:szCs w:val="32"/>
          <w:highlight w:val="none"/>
          <w:lang w:val="en-US" w:eastAsia="zh-CN"/>
        </w:rPr>
        <w:t>（款）</w:t>
      </w:r>
      <w:r>
        <w:rPr>
          <w:rFonts w:hint="eastAsia" w:ascii="仿宋_GB2312" w:hAnsi="宋体" w:eastAsia="仿宋_GB2312"/>
          <w:sz w:val="32"/>
          <w:szCs w:val="32"/>
          <w:highlight w:val="none"/>
          <w:lang w:eastAsia="zh-CN"/>
        </w:rPr>
        <w:t>其他文化体育与传媒支出</w:t>
      </w:r>
      <w:r>
        <w:rPr>
          <w:rFonts w:hint="eastAsia" w:ascii="仿宋_GB2312" w:hAnsi="宋体" w:eastAsia="仿宋_GB2312"/>
          <w:sz w:val="32"/>
          <w:szCs w:val="32"/>
          <w:highlight w:val="none"/>
          <w:lang w:val="en-US" w:eastAsia="zh-CN"/>
        </w:rPr>
        <w:t>(项）500万元，主要用于体育产业项目。</w:t>
      </w:r>
    </w:p>
    <w:p>
      <w:pPr>
        <w:keepNext w:val="0"/>
        <w:keepLines w:val="0"/>
        <w:pageBreakBefore w:val="0"/>
        <w:numPr>
          <w:ilvl w:val="0"/>
          <w:numId w:val="0"/>
        </w:numPr>
        <w:kinsoku/>
        <w:wordWrap/>
        <w:overflowPunct/>
        <w:topLinePunct w:val="0"/>
        <w:autoSpaceDE/>
        <w:bidi w:val="0"/>
        <w:adjustRightInd/>
        <w:snapToGrid/>
        <w:spacing w:before="0" w:beforeLines="0" w:after="0" w:afterLines="0" w:line="560" w:lineRule="exact"/>
        <w:ind w:left="660" w:leftChars="0" w:right="0" w:rightChars="0"/>
        <w:textAlignment w:val="auto"/>
        <w:outlineLvl w:val="9"/>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2.社会保障和就业支出115.82万元，具体包括：</w:t>
      </w:r>
    </w:p>
    <w:p>
      <w:pPr>
        <w:keepNext w:val="0"/>
        <w:keepLines w:val="0"/>
        <w:pageBreakBefore w:val="0"/>
        <w:numPr>
          <w:ilvl w:val="0"/>
          <w:numId w:val="0"/>
        </w:numPr>
        <w:kinsoku/>
        <w:wordWrap/>
        <w:overflowPunct/>
        <w:topLinePunct w:val="0"/>
        <w:autoSpaceDE/>
        <w:bidi w:val="0"/>
        <w:adjustRightInd/>
        <w:snapToGrid/>
        <w:spacing w:before="0" w:beforeLines="0" w:after="0" w:afterLines="0" w:line="560" w:lineRule="exact"/>
        <w:ind w:leftChars="0" w:right="0" w:rightChars="0" w:firstLine="640" w:firstLineChars="200"/>
        <w:textAlignment w:val="auto"/>
        <w:outlineLvl w:val="9"/>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（1）社会保障和就业支出（类）行政事业单位养老支出（款）行政单位离退休（项）43.07万元，主要是养老保险缴费支出。</w:t>
      </w:r>
    </w:p>
    <w:p>
      <w:pPr>
        <w:keepNext w:val="0"/>
        <w:keepLines w:val="0"/>
        <w:pageBreakBefore w:val="0"/>
        <w:kinsoku/>
        <w:wordWrap/>
        <w:overflowPunct/>
        <w:topLinePunct w:val="0"/>
        <w:autoSpaceDE/>
        <w:bidi w:val="0"/>
        <w:adjustRightInd/>
        <w:snapToGrid/>
        <w:spacing w:before="0" w:beforeLines="0" w:after="0" w:afterLines="0" w:line="560" w:lineRule="exact"/>
        <w:ind w:left="0" w:leftChars="0" w:right="0" w:rightChars="0" w:firstLine="660"/>
        <w:textAlignment w:val="auto"/>
        <w:outlineLvl w:val="9"/>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（2）社会保障和就业支出（类）行政事业单位养老支出（款）机关事业单位基本养老保险缴费支出72.75万元，主要缴纳职工养老保险支出。</w:t>
      </w:r>
    </w:p>
    <w:p>
      <w:pPr>
        <w:keepNext w:val="0"/>
        <w:keepLines w:val="0"/>
        <w:pageBreakBefore w:val="0"/>
        <w:kinsoku/>
        <w:wordWrap/>
        <w:overflowPunct/>
        <w:topLinePunct w:val="0"/>
        <w:autoSpaceDE/>
        <w:bidi w:val="0"/>
        <w:adjustRightInd/>
        <w:snapToGrid/>
        <w:spacing w:before="0" w:beforeLines="0" w:after="0" w:afterLines="0" w:line="560" w:lineRule="exact"/>
        <w:ind w:right="0" w:rightChars="0" w:firstLine="640" w:firstLineChars="200"/>
        <w:textAlignment w:val="auto"/>
        <w:outlineLvl w:val="9"/>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3.卫生健康支出35.02万元，具体包括：</w:t>
      </w:r>
    </w:p>
    <w:p>
      <w:pPr>
        <w:keepNext w:val="0"/>
        <w:keepLines w:val="0"/>
        <w:pageBreakBefore w:val="0"/>
        <w:kinsoku/>
        <w:wordWrap/>
        <w:overflowPunct/>
        <w:topLinePunct w:val="0"/>
        <w:autoSpaceDE/>
        <w:bidi w:val="0"/>
        <w:adjustRightInd/>
        <w:snapToGrid/>
        <w:spacing w:before="0" w:beforeLines="0" w:after="0" w:afterLines="0" w:line="560" w:lineRule="exact"/>
        <w:ind w:left="0" w:leftChars="0" w:right="0" w:rightChars="0" w:firstLine="660"/>
        <w:textAlignment w:val="auto"/>
        <w:outlineLvl w:val="9"/>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卫生健康支出（类）行政事业单位医疗（款）行政单位医疗（项）35.02万元，主要为职工医疗保险。</w:t>
      </w:r>
    </w:p>
    <w:p>
      <w:pPr>
        <w:keepNext w:val="0"/>
        <w:keepLines w:val="0"/>
        <w:pageBreakBefore w:val="0"/>
        <w:numPr>
          <w:ilvl w:val="0"/>
          <w:numId w:val="0"/>
        </w:numPr>
        <w:kinsoku/>
        <w:wordWrap/>
        <w:overflowPunct/>
        <w:topLinePunct w:val="0"/>
        <w:autoSpaceDE/>
        <w:bidi w:val="0"/>
        <w:adjustRightInd/>
        <w:snapToGrid/>
        <w:spacing w:before="0" w:beforeLines="0" w:after="0" w:afterLines="0" w:line="560" w:lineRule="exact"/>
        <w:ind w:left="660" w:leftChars="0" w:right="0" w:rightChars="0" w:firstLine="0"/>
        <w:textAlignment w:val="auto"/>
        <w:outlineLvl w:val="9"/>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4.住房保障支出119.7万元，具体包括：</w:t>
      </w:r>
    </w:p>
    <w:p>
      <w:pPr>
        <w:keepNext w:val="0"/>
        <w:keepLines w:val="0"/>
        <w:pageBreakBefore w:val="0"/>
        <w:numPr>
          <w:ilvl w:val="0"/>
          <w:numId w:val="0"/>
        </w:numPr>
        <w:kinsoku/>
        <w:wordWrap/>
        <w:overflowPunct/>
        <w:topLinePunct w:val="0"/>
        <w:autoSpaceDE/>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（1）住房保障支出（类）住房改革支出（款）住房公积金（项）102.9万元，主要是职工缴纳公积金。</w:t>
      </w:r>
    </w:p>
    <w:p>
      <w:pPr>
        <w:keepNext w:val="0"/>
        <w:keepLines w:val="0"/>
        <w:pageBreakBefore w:val="0"/>
        <w:numPr>
          <w:ilvl w:val="0"/>
          <w:numId w:val="0"/>
        </w:numPr>
        <w:kinsoku/>
        <w:wordWrap/>
        <w:overflowPunct/>
        <w:topLinePunct w:val="0"/>
        <w:autoSpaceDE/>
        <w:bidi w:val="0"/>
        <w:adjustRightInd/>
        <w:snapToGrid/>
        <w:spacing w:before="0" w:beforeLines="0" w:after="0" w:afterLines="0" w:line="560" w:lineRule="exact"/>
        <w:ind w:left="660" w:leftChars="0" w:right="0" w:rightChars="0" w:firstLine="0"/>
        <w:textAlignment w:val="auto"/>
        <w:outlineLvl w:val="9"/>
        <w:rPr>
          <w:rFonts w:hint="default"/>
          <w:lang w:val="en-US" w:eastAsia="zh-CN"/>
        </w:rPr>
      </w:pPr>
      <w:r>
        <w:rPr>
          <w:rFonts w:hint="eastAsia" w:ascii="仿宋_GB2312" w:hAnsi="宋体" w:eastAsia="仿宋_GB2312"/>
          <w:sz w:val="32"/>
          <w:szCs w:val="32"/>
          <w:highlight w:val="none"/>
          <w:lang w:val="en-US" w:eastAsia="zh-CN"/>
        </w:rPr>
        <w:t>（2）住房保障支出（类）住房改革支出（款）购房补贴（项）16.8万元，主要是职工发放住房补贴。</w:t>
      </w:r>
    </w:p>
    <w:p>
      <w:pPr>
        <w:spacing w:line="560" w:lineRule="exact"/>
        <w:ind w:firstLine="660"/>
        <w:rPr>
          <w:rFonts w:hint="default" w:ascii="楷体_GB2312" w:hAnsi="宋体" w:eastAsia="楷体_GB2312"/>
          <w:b/>
          <w:sz w:val="32"/>
          <w:szCs w:val="32"/>
        </w:rPr>
      </w:pPr>
      <w:r>
        <w:rPr>
          <w:rFonts w:ascii="楷体_GB2312" w:hAnsi="宋体" w:eastAsia="楷体_GB2312"/>
          <w:b/>
          <w:sz w:val="32"/>
          <w:szCs w:val="32"/>
        </w:rPr>
        <w:t>（三）政府性基金预算财政拨款支出情况。</w:t>
      </w:r>
    </w:p>
    <w:p>
      <w:pPr>
        <w:spacing w:line="560" w:lineRule="exact"/>
        <w:ind w:firstLine="660"/>
        <w:rPr>
          <w:rFonts w:hint="default" w:ascii="仿宋_GB2312" w:hAnsi="宋体" w:eastAsia="仿宋_GB2312"/>
          <w:sz w:val="32"/>
          <w:szCs w:val="32"/>
        </w:rPr>
      </w:pPr>
      <w:r>
        <w:rPr>
          <w:rFonts w:ascii="仿宋_GB2312" w:hAnsi="宋体" w:eastAsia="仿宋_GB2312"/>
          <w:sz w:val="32"/>
          <w:szCs w:val="32"/>
        </w:rPr>
        <w:t>2021年度政府性基金预算财政拨款支出</w:t>
      </w:r>
      <w:r>
        <w:rPr>
          <w:rFonts w:hint="eastAsia" w:ascii="仿宋_GB2312" w:hAnsi="宋体" w:eastAsia="仿宋_GB2312"/>
          <w:sz w:val="32"/>
          <w:szCs w:val="32"/>
          <w:lang w:val="en-US" w:eastAsia="zh-CN"/>
        </w:rPr>
        <w:t>3185.14</w:t>
      </w:r>
      <w:r>
        <w:rPr>
          <w:rFonts w:ascii="仿宋_GB2312" w:hAnsi="宋体" w:eastAsia="仿宋_GB2312"/>
          <w:sz w:val="32"/>
          <w:szCs w:val="32"/>
        </w:rPr>
        <w:t>万元，按支出功能分类科目分，包括：</w:t>
      </w:r>
    </w:p>
    <w:p>
      <w:pPr>
        <w:keepNext w:val="0"/>
        <w:keepLines w:val="0"/>
        <w:pageBreakBefore w:val="0"/>
        <w:kinsoku/>
        <w:wordWrap/>
        <w:overflowPunct/>
        <w:topLinePunct w:val="0"/>
        <w:autoSpaceDE/>
        <w:bidi w:val="0"/>
        <w:adjustRightInd/>
        <w:snapToGrid/>
        <w:spacing w:before="0" w:beforeLines="0" w:after="0" w:afterLines="0" w:line="560" w:lineRule="exact"/>
        <w:ind w:left="0" w:leftChars="0" w:right="0" w:rightChars="0" w:firstLine="660"/>
        <w:textAlignment w:val="auto"/>
        <w:outlineLvl w:val="9"/>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eastAsia="zh-CN"/>
        </w:rPr>
        <w:t>其他支出（类）彩票公益金安排的支出（款）用于体育事业彩票公益金支出（项）</w:t>
      </w:r>
      <w:r>
        <w:rPr>
          <w:rFonts w:hint="eastAsia" w:ascii="仿宋_GB2312" w:hAnsi="宋体" w:eastAsia="仿宋_GB2312"/>
          <w:sz w:val="32"/>
          <w:szCs w:val="32"/>
          <w:highlight w:val="none"/>
          <w:lang w:val="en-US" w:eastAsia="zh-CN"/>
        </w:rPr>
        <w:t>3185.14万元，主要用于全民健身活动，健身设施购置和竞赛组织等。</w:t>
      </w:r>
    </w:p>
    <w:p>
      <w:pPr>
        <w:spacing w:line="560" w:lineRule="exact"/>
        <w:ind w:firstLine="660"/>
        <w:rPr>
          <w:rFonts w:hint="default" w:ascii="楷体_GB2312" w:hAnsi="宋体" w:eastAsia="楷体_GB2312"/>
          <w:b/>
          <w:sz w:val="32"/>
          <w:szCs w:val="32"/>
        </w:rPr>
      </w:pPr>
      <w:r>
        <w:rPr>
          <w:rFonts w:ascii="楷体_GB2312" w:hAnsi="宋体" w:eastAsia="楷体_GB2312"/>
          <w:b/>
          <w:sz w:val="32"/>
          <w:szCs w:val="32"/>
        </w:rPr>
        <w:t>（四）国有资本经营预算财政拨款支出情况。</w:t>
      </w:r>
    </w:p>
    <w:p>
      <w:pPr>
        <w:spacing w:line="560" w:lineRule="exact"/>
        <w:ind w:firstLine="660"/>
        <w:rPr>
          <w:rFonts w:hint="default" w:ascii="仿宋_GB2312" w:hAnsi="宋体" w:eastAsia="仿宋_GB2312"/>
          <w:sz w:val="32"/>
          <w:szCs w:val="32"/>
        </w:rPr>
      </w:pPr>
      <w:r>
        <w:rPr>
          <w:rFonts w:ascii="仿宋_GB2312" w:hAnsi="宋体" w:eastAsia="仿宋_GB2312"/>
          <w:sz w:val="32"/>
          <w:szCs w:val="32"/>
        </w:rPr>
        <w:t>2021年度国有资本经营预算财政拨款支出</w:t>
      </w:r>
      <w:r>
        <w:rPr>
          <w:rFonts w:hint="eastAsia" w:ascii="仿宋_GB2312" w:hAnsi="宋体" w:eastAsia="仿宋_GB2312"/>
          <w:sz w:val="32"/>
          <w:szCs w:val="32"/>
          <w:lang w:val="en-US" w:eastAsia="zh-CN"/>
        </w:rPr>
        <w:t>0</w:t>
      </w:r>
      <w:r>
        <w:rPr>
          <w:rFonts w:ascii="仿宋_GB2312" w:hAnsi="宋体" w:eastAsia="仿宋_GB2312"/>
          <w:sz w:val="32"/>
          <w:szCs w:val="32"/>
        </w:rPr>
        <w:t>万元。</w:t>
      </w:r>
    </w:p>
    <w:p>
      <w:pPr>
        <w:pStyle w:val="8"/>
        <w:spacing w:line="560" w:lineRule="exact"/>
        <w:ind w:firstLine="660"/>
        <w:rPr>
          <w:rFonts w:hint="default" w:ascii="黑体" w:eastAsia="黑体"/>
          <w:sz w:val="32"/>
        </w:rPr>
      </w:pPr>
      <w:r>
        <w:rPr>
          <w:rFonts w:ascii="黑体" w:eastAsia="黑体"/>
          <w:sz w:val="32"/>
        </w:rPr>
        <w:t>三、一般公共预算财政拨款“三公”经费支出决算情况说明</w:t>
      </w:r>
    </w:p>
    <w:p>
      <w:pPr>
        <w:pStyle w:val="8"/>
        <w:autoSpaceDN w:val="0"/>
        <w:spacing w:line="560" w:lineRule="exact"/>
        <w:ind w:firstLine="645"/>
        <w:rPr>
          <w:rFonts w:hint="default" w:ascii="仿宋_GB2312" w:eastAsia="仿宋_GB2312"/>
          <w:sz w:val="32"/>
        </w:rPr>
      </w:pPr>
      <w:r>
        <w:rPr>
          <w:rFonts w:ascii="仿宋_GB2312" w:eastAsia="仿宋_GB2312"/>
          <w:sz w:val="32"/>
        </w:rPr>
        <w:t>2021年度一般公共预算财政拨款安排的“三公”经费支出</w:t>
      </w:r>
      <w:r>
        <w:rPr>
          <w:rFonts w:hint="eastAsia" w:ascii="仿宋_GB2312" w:eastAsia="仿宋_GB2312"/>
          <w:sz w:val="32"/>
          <w:lang w:val="en-US" w:eastAsia="zh-CN"/>
        </w:rPr>
        <w:t>14.7</w:t>
      </w:r>
      <w:r>
        <w:rPr>
          <w:rFonts w:ascii="仿宋_GB2312" w:eastAsia="仿宋_GB2312"/>
          <w:sz w:val="32"/>
        </w:rPr>
        <w:t>万元，完成年初预算的</w:t>
      </w:r>
      <w:r>
        <w:rPr>
          <w:rFonts w:hint="eastAsia" w:ascii="仿宋_GB2312" w:eastAsia="仿宋_GB2312"/>
          <w:sz w:val="32"/>
          <w:lang w:val="en-US" w:eastAsia="zh-CN"/>
        </w:rPr>
        <w:t>53</w:t>
      </w:r>
      <w:r>
        <w:rPr>
          <w:rFonts w:ascii="仿宋_GB2312" w:eastAsia="仿宋_GB2312"/>
          <w:sz w:val="32"/>
        </w:rPr>
        <w:t>%，决算数小于年初预算数的主要原因是</w:t>
      </w:r>
      <w:r>
        <w:rPr>
          <w:rFonts w:hint="eastAsia" w:ascii="仿宋_GB2312" w:eastAsia="仿宋_GB2312"/>
          <w:sz w:val="32"/>
          <w:highlight w:val="none"/>
          <w:lang w:eastAsia="zh-CN"/>
        </w:rPr>
        <w:t>疫情影响，公务活动多改为线上进行</w:t>
      </w:r>
      <w:r>
        <w:rPr>
          <w:rFonts w:ascii="仿宋_GB2312" w:eastAsia="仿宋_GB2312"/>
          <w:sz w:val="32"/>
        </w:rPr>
        <w:t>。其中：因公出国（境）费</w:t>
      </w:r>
      <w:r>
        <w:rPr>
          <w:rFonts w:hint="eastAsia" w:ascii="仿宋_GB2312" w:eastAsia="仿宋_GB2312"/>
          <w:sz w:val="32"/>
          <w:lang w:val="en-US" w:eastAsia="zh-CN"/>
        </w:rPr>
        <w:t>0</w:t>
      </w:r>
      <w:r>
        <w:rPr>
          <w:rFonts w:ascii="仿宋_GB2312" w:eastAsia="仿宋_GB2312"/>
          <w:sz w:val="32"/>
        </w:rPr>
        <w:t>万元，公务接待费</w:t>
      </w:r>
      <w:r>
        <w:rPr>
          <w:rFonts w:hint="eastAsia" w:ascii="仿宋_GB2312" w:eastAsia="仿宋_GB2312"/>
          <w:sz w:val="32"/>
          <w:lang w:val="en-US" w:eastAsia="zh-CN"/>
        </w:rPr>
        <w:t>0.24</w:t>
      </w:r>
      <w:r>
        <w:rPr>
          <w:rFonts w:ascii="仿宋_GB2312" w:eastAsia="仿宋_GB2312"/>
          <w:sz w:val="32"/>
        </w:rPr>
        <w:t>万元，公务用车购置及运行维护费</w:t>
      </w:r>
      <w:r>
        <w:rPr>
          <w:rFonts w:hint="eastAsia" w:ascii="仿宋_GB2312" w:eastAsia="仿宋_GB2312"/>
          <w:sz w:val="32"/>
          <w:lang w:val="en-US" w:eastAsia="zh-CN"/>
        </w:rPr>
        <w:t>14.46</w:t>
      </w:r>
      <w:r>
        <w:rPr>
          <w:rFonts w:ascii="仿宋_GB2312" w:eastAsia="仿宋_GB2312"/>
          <w:sz w:val="32"/>
        </w:rPr>
        <w:t>万元。</w:t>
      </w:r>
    </w:p>
    <w:p>
      <w:pPr>
        <w:pStyle w:val="8"/>
        <w:spacing w:line="560" w:lineRule="exact"/>
        <w:ind w:firstLine="645"/>
        <w:rPr>
          <w:rFonts w:hint="default" w:ascii="仿宋_GB2312" w:hAnsi="Times New Roman" w:eastAsia="仿宋_GB2312" w:cs="Times New Roman"/>
          <w:kern w:val="0"/>
          <w:sz w:val="32"/>
          <w:szCs w:val="32"/>
        </w:rPr>
      </w:pPr>
      <w:r>
        <w:rPr>
          <w:rFonts w:ascii="仿宋_GB2312" w:eastAsia="仿宋_GB2312"/>
          <w:sz w:val="32"/>
        </w:rPr>
        <w:t>1.因公出国（境）费</w:t>
      </w:r>
      <w:r>
        <w:rPr>
          <w:rFonts w:hint="eastAsia" w:ascii="仿宋_GB2312" w:eastAsia="仿宋_GB2312"/>
          <w:sz w:val="32"/>
          <w:lang w:val="en-US" w:eastAsia="zh-CN"/>
        </w:rPr>
        <w:t>0</w:t>
      </w:r>
      <w:r>
        <w:rPr>
          <w:rFonts w:ascii="仿宋_GB2312" w:eastAsia="仿宋_GB2312"/>
          <w:sz w:val="32"/>
        </w:rPr>
        <w:t>万元，占“三公”经费支出的</w:t>
      </w:r>
      <w:r>
        <w:rPr>
          <w:rFonts w:hint="eastAsia" w:ascii="仿宋_GB2312" w:eastAsia="仿宋_GB2312"/>
          <w:sz w:val="32"/>
          <w:lang w:val="en-US" w:eastAsia="zh-CN"/>
        </w:rPr>
        <w:t>0</w:t>
      </w:r>
      <w:r>
        <w:rPr>
          <w:rFonts w:ascii="仿宋_GB2312" w:eastAsia="仿宋_GB2312"/>
          <w:sz w:val="32"/>
        </w:rPr>
        <w:t>%。完成年初预算的</w:t>
      </w:r>
      <w:r>
        <w:rPr>
          <w:rFonts w:hint="eastAsia" w:ascii="仿宋_GB2312" w:eastAsia="仿宋_GB2312"/>
          <w:sz w:val="32"/>
          <w:lang w:val="en-US" w:eastAsia="zh-CN"/>
        </w:rPr>
        <w:t>0</w:t>
      </w:r>
      <w:r>
        <w:rPr>
          <w:rFonts w:ascii="仿宋_GB2312" w:eastAsia="仿宋_GB2312"/>
          <w:sz w:val="32"/>
        </w:rPr>
        <w:t>%，决算数小于年初预算数的原因主要是</w:t>
      </w:r>
      <w:r>
        <w:rPr>
          <w:rFonts w:hint="eastAsia" w:ascii="仿宋_GB2312" w:eastAsia="仿宋_GB2312"/>
          <w:sz w:val="32"/>
          <w:highlight w:val="none"/>
          <w:lang w:eastAsia="zh-CN"/>
        </w:rPr>
        <w:t>疫情影响，公务活动多改为线上进行</w:t>
      </w:r>
      <w:r>
        <w:rPr>
          <w:rFonts w:ascii="仿宋_GB2312" w:eastAsia="仿宋_GB2312"/>
          <w:sz w:val="32"/>
        </w:rPr>
        <w:t>。2021年参加出国（境）团组</w:t>
      </w:r>
      <w:r>
        <w:rPr>
          <w:rFonts w:hint="eastAsia" w:ascii="仿宋_GB2312" w:eastAsia="仿宋_GB2312"/>
          <w:sz w:val="32"/>
          <w:lang w:val="en-US" w:eastAsia="zh-CN"/>
        </w:rPr>
        <w:t>0</w:t>
      </w:r>
      <w:r>
        <w:rPr>
          <w:rFonts w:ascii="仿宋_GB2312" w:eastAsia="仿宋_GB2312"/>
          <w:sz w:val="32"/>
        </w:rPr>
        <w:t>个，累计</w:t>
      </w:r>
      <w:r>
        <w:rPr>
          <w:rFonts w:hint="eastAsia" w:ascii="仿宋_GB2312" w:eastAsia="仿宋_GB2312"/>
          <w:sz w:val="32"/>
          <w:lang w:val="en-US" w:eastAsia="zh-CN"/>
        </w:rPr>
        <w:t>0</w:t>
      </w:r>
      <w:r>
        <w:rPr>
          <w:rFonts w:ascii="仿宋_GB2312" w:eastAsia="仿宋_GB2312"/>
          <w:sz w:val="32"/>
        </w:rPr>
        <w:t>人次,主要为参加</w:t>
      </w:r>
      <w:r>
        <w:rPr>
          <w:rFonts w:hint="eastAsia" w:ascii="仿宋_GB2312" w:eastAsia="仿宋_GB2312"/>
          <w:sz w:val="32"/>
          <w:lang w:val="en-US" w:eastAsia="zh-CN"/>
        </w:rPr>
        <w:t>0</w:t>
      </w:r>
      <w:r>
        <w:rPr>
          <w:rFonts w:ascii="仿宋_GB2312" w:eastAsia="仿宋_GB2312"/>
          <w:sz w:val="32"/>
        </w:rPr>
        <w:t>团等。</w:t>
      </w:r>
      <w:r>
        <w:rPr>
          <w:rFonts w:ascii="仿宋_GB2312" w:hAnsi="Times New Roman" w:eastAsia="仿宋_GB2312" w:cs="Times New Roman"/>
          <w:kern w:val="0"/>
          <w:sz w:val="32"/>
          <w:szCs w:val="32"/>
        </w:rPr>
        <w:t>2021年因公出国（境）费比上年减少</w:t>
      </w:r>
      <w:r>
        <w:rPr>
          <w:rFonts w:hint="eastAsia" w:ascii="仿宋_GB2312" w:hAnsi="Times New Roman" w:eastAsia="仿宋_GB2312" w:cs="Times New Roman"/>
          <w:kern w:val="0"/>
          <w:sz w:val="32"/>
          <w:szCs w:val="32"/>
          <w:lang w:val="en-US" w:eastAsia="zh-CN"/>
        </w:rPr>
        <w:t>0</w:t>
      </w:r>
      <w:r>
        <w:rPr>
          <w:rFonts w:ascii="仿宋_GB2312" w:hAnsi="Times New Roman" w:eastAsia="仿宋_GB2312" w:cs="Times New Roman"/>
          <w:kern w:val="0"/>
          <w:sz w:val="32"/>
          <w:szCs w:val="32"/>
        </w:rPr>
        <w:t>万元，下降</w:t>
      </w:r>
      <w:r>
        <w:rPr>
          <w:rFonts w:hint="eastAsia" w:ascii="仿宋_GB2312" w:hAnsi="Times New Roman" w:eastAsia="仿宋_GB2312" w:cs="Times New Roman"/>
          <w:kern w:val="0"/>
          <w:sz w:val="32"/>
          <w:szCs w:val="32"/>
          <w:lang w:val="en-US" w:eastAsia="zh-CN"/>
        </w:rPr>
        <w:t>0</w:t>
      </w:r>
      <w:r>
        <w:rPr>
          <w:rFonts w:ascii="仿宋_GB2312" w:hAnsi="Times New Roman" w:eastAsia="仿宋_GB2312" w:cs="Times New Roman"/>
          <w:kern w:val="0"/>
          <w:sz w:val="32"/>
          <w:szCs w:val="32"/>
        </w:rPr>
        <w:t>，主要是</w:t>
      </w:r>
      <w:r>
        <w:rPr>
          <w:rFonts w:ascii="仿宋_GB2312" w:eastAsia="仿宋_GB2312"/>
          <w:sz w:val="32"/>
        </w:rPr>
        <w:t>是</w:t>
      </w:r>
      <w:r>
        <w:rPr>
          <w:rFonts w:hint="eastAsia" w:ascii="仿宋_GB2312" w:eastAsia="仿宋_GB2312"/>
          <w:sz w:val="32"/>
          <w:highlight w:val="none"/>
          <w:lang w:eastAsia="zh-CN"/>
        </w:rPr>
        <w:t>疫情影响，公务活动多改为线上进行</w:t>
      </w:r>
      <w:r>
        <w:rPr>
          <w:rFonts w:ascii="仿宋_GB2312" w:hAnsi="Times New Roman" w:eastAsia="仿宋_GB2312" w:cs="Times New Roman"/>
          <w:kern w:val="0"/>
          <w:sz w:val="32"/>
          <w:szCs w:val="32"/>
        </w:rPr>
        <w:t>等原因。</w:t>
      </w:r>
    </w:p>
    <w:p>
      <w:pPr>
        <w:pStyle w:val="8"/>
        <w:spacing w:line="560" w:lineRule="exact"/>
        <w:rPr>
          <w:rFonts w:hint="default" w:ascii="Times New Roman" w:hAnsi="Times New Roman" w:cs="Times New Roman"/>
          <w:kern w:val="0"/>
          <w:szCs w:val="21"/>
        </w:rPr>
      </w:pPr>
      <w:r>
        <w:rPr>
          <w:rFonts w:ascii="仿宋_GB2312" w:eastAsia="仿宋_GB2312"/>
          <w:sz w:val="32"/>
        </w:rPr>
        <w:t xml:space="preserve">    2.公务接待费</w:t>
      </w:r>
      <w:r>
        <w:rPr>
          <w:rFonts w:hint="eastAsia" w:ascii="仿宋_GB2312" w:eastAsia="仿宋_GB2312"/>
          <w:sz w:val="32"/>
          <w:lang w:val="en-US" w:eastAsia="zh-CN"/>
        </w:rPr>
        <w:t>0.24</w:t>
      </w:r>
      <w:r>
        <w:rPr>
          <w:rFonts w:ascii="仿宋_GB2312" w:eastAsia="仿宋_GB2312"/>
          <w:sz w:val="32"/>
        </w:rPr>
        <w:t>万元，占“三公”经费支出的</w:t>
      </w:r>
      <w:r>
        <w:rPr>
          <w:rFonts w:hint="eastAsia" w:ascii="仿宋_GB2312" w:eastAsia="仿宋_GB2312"/>
          <w:sz w:val="32"/>
          <w:lang w:val="en-US" w:eastAsia="zh-CN"/>
        </w:rPr>
        <w:t>0.01</w:t>
      </w:r>
      <w:r>
        <w:rPr>
          <w:rFonts w:ascii="仿宋_GB2312" w:eastAsia="仿宋_GB2312"/>
          <w:sz w:val="32"/>
        </w:rPr>
        <w:t>%。完成年初预算的</w:t>
      </w:r>
      <w:r>
        <w:rPr>
          <w:rFonts w:hint="eastAsia" w:ascii="仿宋_GB2312" w:eastAsia="仿宋_GB2312"/>
          <w:sz w:val="32"/>
          <w:lang w:val="en-US" w:eastAsia="zh-CN"/>
        </w:rPr>
        <w:t>12</w:t>
      </w:r>
      <w:r>
        <w:rPr>
          <w:rFonts w:ascii="仿宋_GB2312" w:eastAsia="仿宋_GB2312"/>
          <w:sz w:val="32"/>
        </w:rPr>
        <w:t>%，决算数小于年初预算数的原因主要是</w:t>
      </w:r>
      <w:r>
        <w:rPr>
          <w:rFonts w:hint="eastAsia" w:ascii="仿宋_GB2312" w:eastAsia="仿宋_GB2312"/>
          <w:sz w:val="32"/>
          <w:highlight w:val="none"/>
          <w:lang w:eastAsia="zh-CN"/>
        </w:rPr>
        <w:t>疫情影响，多数公务活动多改为线上进行</w:t>
      </w:r>
      <w:r>
        <w:rPr>
          <w:rFonts w:ascii="仿宋_GB2312" w:eastAsia="仿宋_GB2312"/>
          <w:sz w:val="32"/>
        </w:rPr>
        <w:t>。2021年国内公务接待累计</w:t>
      </w:r>
      <w:r>
        <w:rPr>
          <w:rFonts w:hint="eastAsia" w:ascii="仿宋_GB2312" w:eastAsia="仿宋_GB2312"/>
          <w:sz w:val="32"/>
          <w:lang w:val="en-US" w:eastAsia="zh-CN"/>
        </w:rPr>
        <w:t>1</w:t>
      </w:r>
      <w:r>
        <w:rPr>
          <w:rFonts w:ascii="仿宋_GB2312" w:eastAsia="仿宋_GB2312"/>
          <w:sz w:val="32"/>
        </w:rPr>
        <w:t>批次、</w:t>
      </w:r>
      <w:r>
        <w:rPr>
          <w:rFonts w:hint="eastAsia" w:ascii="仿宋_GB2312" w:eastAsia="仿宋_GB2312"/>
          <w:sz w:val="32"/>
          <w:lang w:val="en-US" w:eastAsia="zh-CN"/>
        </w:rPr>
        <w:t>8</w:t>
      </w:r>
      <w:r>
        <w:rPr>
          <w:rFonts w:ascii="仿宋_GB2312" w:eastAsia="仿宋_GB2312"/>
          <w:sz w:val="32"/>
        </w:rPr>
        <w:t>人、</w:t>
      </w:r>
      <w:r>
        <w:rPr>
          <w:rFonts w:hint="eastAsia" w:ascii="仿宋_GB2312" w:eastAsia="仿宋_GB2312"/>
          <w:sz w:val="32"/>
          <w:lang w:val="en-US" w:eastAsia="zh-CN"/>
        </w:rPr>
        <w:t>0.24</w:t>
      </w:r>
      <w:r>
        <w:rPr>
          <w:rFonts w:ascii="仿宋_GB2312" w:eastAsia="仿宋_GB2312"/>
          <w:sz w:val="32"/>
        </w:rPr>
        <w:t>万元;</w:t>
      </w:r>
      <w:r>
        <w:rPr>
          <w:rFonts w:ascii="仿宋_GB2312" w:hAnsi="Times New Roman" w:eastAsia="仿宋_GB2312" w:cs="Times New Roman"/>
          <w:kern w:val="0"/>
          <w:sz w:val="32"/>
          <w:szCs w:val="32"/>
        </w:rPr>
        <w:t>2021年公务接待费比上年增加</w:t>
      </w:r>
      <w:r>
        <w:rPr>
          <w:rFonts w:hint="eastAsia" w:ascii="仿宋_GB2312" w:hAnsi="Times New Roman" w:eastAsia="仿宋_GB2312" w:cs="Times New Roman"/>
          <w:kern w:val="0"/>
          <w:sz w:val="32"/>
          <w:szCs w:val="32"/>
          <w:lang w:val="en-US" w:eastAsia="zh-CN"/>
        </w:rPr>
        <w:t>0.24</w:t>
      </w:r>
      <w:r>
        <w:rPr>
          <w:rFonts w:ascii="仿宋_GB2312" w:hAnsi="Times New Roman" w:eastAsia="仿宋_GB2312" w:cs="Times New Roman"/>
          <w:kern w:val="0"/>
          <w:sz w:val="32"/>
          <w:szCs w:val="32"/>
        </w:rPr>
        <w:t>万元，增长</w:t>
      </w:r>
      <w:r>
        <w:rPr>
          <w:rFonts w:hint="eastAsia" w:ascii="仿宋_GB2312" w:hAnsi="Times New Roman" w:eastAsia="仿宋_GB2312" w:cs="Times New Roman"/>
          <w:kern w:val="0"/>
          <w:sz w:val="32"/>
          <w:szCs w:val="32"/>
          <w:lang w:val="en-US" w:eastAsia="zh-CN"/>
        </w:rPr>
        <w:t>24</w:t>
      </w:r>
      <w:r>
        <w:rPr>
          <w:rFonts w:ascii="仿宋_GB2312" w:hAnsi="Times New Roman" w:eastAsia="仿宋_GB2312" w:cs="Times New Roman"/>
          <w:kern w:val="0"/>
          <w:sz w:val="32"/>
          <w:szCs w:val="32"/>
        </w:rPr>
        <w:t>%，主要是</w:t>
      </w:r>
      <w:r>
        <w:rPr>
          <w:rFonts w:hint="eastAsia" w:ascii="仿宋_GB2312" w:hAnsi="Times New Roman" w:eastAsia="仿宋_GB2312" w:cs="Times New Roman"/>
          <w:kern w:val="0"/>
          <w:sz w:val="32"/>
          <w:szCs w:val="32"/>
          <w:lang w:eastAsia="zh-CN"/>
        </w:rPr>
        <w:t>迎接体育总局检查</w:t>
      </w:r>
      <w:r>
        <w:rPr>
          <w:rFonts w:ascii="仿宋_GB2312" w:hAnsi="Times New Roman" w:eastAsia="仿宋_GB2312" w:cs="Times New Roman"/>
          <w:kern w:val="0"/>
          <w:sz w:val="32"/>
          <w:szCs w:val="32"/>
        </w:rPr>
        <w:t>等原因。</w:t>
      </w:r>
    </w:p>
    <w:p>
      <w:pPr>
        <w:pStyle w:val="8"/>
        <w:autoSpaceDN w:val="0"/>
        <w:spacing w:line="560" w:lineRule="exact"/>
        <w:ind w:firstLine="645"/>
        <w:rPr>
          <w:rFonts w:hint="default" w:ascii="Times New Roman" w:hAnsi="Times New Roman" w:cs="Times New Roman"/>
          <w:kern w:val="0"/>
          <w:szCs w:val="21"/>
        </w:rPr>
      </w:pPr>
      <w:r>
        <w:rPr>
          <w:rFonts w:ascii="仿宋_GB2312" w:eastAsia="仿宋_GB2312"/>
          <w:sz w:val="32"/>
        </w:rPr>
        <w:t>3.</w:t>
      </w:r>
      <w:r>
        <w:rPr>
          <w:rFonts w:hint="default" w:ascii="Times New Roman" w:hAnsi="Times New Roman"/>
        </w:rPr>
        <w:t xml:space="preserve"> </w:t>
      </w:r>
      <w:r>
        <w:rPr>
          <w:rFonts w:ascii="仿宋_GB2312" w:eastAsia="仿宋_GB2312"/>
          <w:sz w:val="32"/>
        </w:rPr>
        <w:t>公务用车购置及运行费</w:t>
      </w:r>
      <w:r>
        <w:rPr>
          <w:rFonts w:hint="eastAsia" w:ascii="仿宋_GB2312" w:eastAsia="仿宋_GB2312"/>
          <w:sz w:val="32"/>
          <w:lang w:val="en-US" w:eastAsia="zh-CN"/>
        </w:rPr>
        <w:t>14.46</w:t>
      </w:r>
      <w:r>
        <w:rPr>
          <w:rFonts w:ascii="仿宋_GB2312" w:eastAsia="仿宋_GB2312"/>
          <w:sz w:val="32"/>
        </w:rPr>
        <w:t>万元，占“三公”经费支出的</w:t>
      </w:r>
      <w:r>
        <w:rPr>
          <w:rFonts w:hint="eastAsia" w:ascii="仿宋_GB2312" w:eastAsia="仿宋_GB2312"/>
          <w:sz w:val="32"/>
          <w:lang w:val="en-US" w:eastAsia="zh-CN"/>
        </w:rPr>
        <w:t>98</w:t>
      </w:r>
      <w:r>
        <w:rPr>
          <w:rFonts w:ascii="仿宋_GB2312" w:eastAsia="仿宋_GB2312"/>
          <w:sz w:val="32"/>
        </w:rPr>
        <w:t>%。完成年初预算的</w:t>
      </w:r>
      <w:r>
        <w:rPr>
          <w:rFonts w:hint="eastAsia" w:ascii="仿宋_GB2312" w:eastAsia="仿宋_GB2312"/>
          <w:sz w:val="32"/>
          <w:lang w:val="en-US" w:eastAsia="zh-CN"/>
        </w:rPr>
        <w:t>75</w:t>
      </w:r>
      <w:r>
        <w:rPr>
          <w:rFonts w:ascii="仿宋_GB2312" w:eastAsia="仿宋_GB2312"/>
          <w:sz w:val="32"/>
        </w:rPr>
        <w:t>%，决算数小于年初预算数的原因主要是</w:t>
      </w:r>
      <w:r>
        <w:rPr>
          <w:rFonts w:hint="eastAsia" w:ascii="仿宋_GB2312" w:eastAsia="仿宋_GB2312"/>
          <w:sz w:val="32"/>
          <w:highlight w:val="none"/>
          <w:lang w:eastAsia="zh-CN"/>
        </w:rPr>
        <w:t>疫情影响，公务活动多改为线上进行</w:t>
      </w:r>
      <w:r>
        <w:rPr>
          <w:rFonts w:ascii="仿宋_GB2312" w:eastAsia="仿宋_GB2312"/>
          <w:sz w:val="32"/>
        </w:rPr>
        <w:t>。</w:t>
      </w:r>
      <w:r>
        <w:rPr>
          <w:rFonts w:ascii="仿宋_GB2312" w:hAnsi="Times New Roman" w:eastAsia="仿宋_GB2312" w:cs="Times New Roman"/>
          <w:kern w:val="0"/>
          <w:sz w:val="32"/>
          <w:szCs w:val="32"/>
        </w:rPr>
        <w:t>比上年减少</w:t>
      </w:r>
      <w:r>
        <w:rPr>
          <w:rFonts w:hint="eastAsia" w:ascii="仿宋_GB2312" w:hAnsi="Times New Roman" w:eastAsia="仿宋_GB2312" w:cs="Times New Roman"/>
          <w:kern w:val="0"/>
          <w:sz w:val="32"/>
          <w:szCs w:val="32"/>
          <w:lang w:val="en-US" w:eastAsia="zh-CN"/>
        </w:rPr>
        <w:t>4.74</w:t>
      </w:r>
      <w:r>
        <w:rPr>
          <w:rFonts w:ascii="仿宋_GB2312" w:hAnsi="Times New Roman" w:eastAsia="仿宋_GB2312" w:cs="Times New Roman"/>
          <w:kern w:val="0"/>
          <w:sz w:val="32"/>
          <w:szCs w:val="32"/>
        </w:rPr>
        <w:t>万元</w:t>
      </w:r>
      <w:bookmarkStart w:id="0" w:name="_GoBack"/>
      <w:bookmarkEnd w:id="0"/>
      <w:r>
        <w:rPr>
          <w:rFonts w:ascii="仿宋_GB2312" w:hAnsi="Times New Roman" w:eastAsia="仿宋_GB2312" w:cs="Times New Roman"/>
          <w:kern w:val="0"/>
          <w:sz w:val="32"/>
          <w:szCs w:val="32"/>
        </w:rPr>
        <w:t>，下降</w:t>
      </w:r>
      <w:r>
        <w:rPr>
          <w:rFonts w:hint="eastAsia" w:ascii="仿宋_GB2312" w:hAnsi="Times New Roman" w:eastAsia="仿宋_GB2312" w:cs="Times New Roman"/>
          <w:kern w:val="0"/>
          <w:sz w:val="32"/>
          <w:szCs w:val="32"/>
          <w:lang w:val="en-US" w:eastAsia="zh-CN"/>
        </w:rPr>
        <w:t>25</w:t>
      </w:r>
      <w:r>
        <w:rPr>
          <w:rFonts w:ascii="仿宋_GB2312" w:hAnsi="Times New Roman" w:eastAsia="仿宋_GB2312" w:cs="Times New Roman"/>
          <w:kern w:val="0"/>
          <w:sz w:val="32"/>
          <w:szCs w:val="32"/>
        </w:rPr>
        <w:t>%，主要是</w:t>
      </w:r>
      <w:r>
        <w:rPr>
          <w:rFonts w:hint="eastAsia" w:ascii="仿宋_GB2312" w:eastAsia="仿宋_GB2312"/>
          <w:sz w:val="32"/>
          <w:lang w:eastAsia="zh-CN"/>
        </w:rPr>
        <w:t>置车辆优惠</w:t>
      </w:r>
      <w:r>
        <w:rPr>
          <w:rFonts w:ascii="仿宋_GB2312" w:hAnsi="Times New Roman" w:eastAsia="仿宋_GB2312" w:cs="Times New Roman"/>
          <w:kern w:val="0"/>
          <w:sz w:val="32"/>
          <w:szCs w:val="32"/>
        </w:rPr>
        <w:t>。</w:t>
      </w:r>
    </w:p>
    <w:p>
      <w:pPr>
        <w:pStyle w:val="8"/>
        <w:autoSpaceDN w:val="0"/>
        <w:spacing w:line="560" w:lineRule="exact"/>
        <w:ind w:firstLine="645"/>
        <w:rPr>
          <w:rFonts w:hint="default" w:ascii="仿宋_GB2312" w:eastAsia="仿宋_GB2312"/>
          <w:sz w:val="32"/>
        </w:rPr>
      </w:pPr>
      <w:r>
        <w:rPr>
          <w:rFonts w:ascii="仿宋_GB2312" w:eastAsia="仿宋_GB2312"/>
          <w:sz w:val="32"/>
        </w:rPr>
        <w:t>其中：公务用车购置费</w:t>
      </w:r>
      <w:r>
        <w:rPr>
          <w:rFonts w:hint="eastAsia" w:ascii="仿宋_GB2312" w:eastAsia="仿宋_GB2312"/>
          <w:sz w:val="32"/>
          <w:lang w:val="en-US" w:eastAsia="zh-CN"/>
        </w:rPr>
        <w:t>11.95</w:t>
      </w:r>
      <w:r>
        <w:rPr>
          <w:rFonts w:ascii="仿宋_GB2312" w:eastAsia="仿宋_GB2312"/>
          <w:sz w:val="32"/>
        </w:rPr>
        <w:t>万元，要用于</w:t>
      </w:r>
      <w:r>
        <w:rPr>
          <w:rFonts w:hint="eastAsia" w:ascii="仿宋_GB2312" w:eastAsia="仿宋_GB2312"/>
          <w:sz w:val="32"/>
          <w:lang w:eastAsia="zh-CN"/>
        </w:rPr>
        <w:t>购买公务用车</w:t>
      </w:r>
      <w:r>
        <w:rPr>
          <w:rFonts w:ascii="仿宋_GB2312" w:eastAsia="仿宋_GB2312"/>
          <w:sz w:val="32"/>
        </w:rPr>
        <w:t>等,当年购置公务用车</w:t>
      </w:r>
      <w:r>
        <w:rPr>
          <w:rFonts w:hint="eastAsia" w:ascii="仿宋_GB2312" w:eastAsia="仿宋_GB2312"/>
          <w:sz w:val="32"/>
          <w:lang w:val="en-US" w:eastAsia="zh-CN"/>
        </w:rPr>
        <w:t>1</w:t>
      </w:r>
      <w:r>
        <w:rPr>
          <w:rFonts w:ascii="仿宋_GB2312" w:eastAsia="仿宋_GB2312"/>
          <w:sz w:val="32"/>
        </w:rPr>
        <w:t>辆。完成年初预算的</w:t>
      </w:r>
      <w:r>
        <w:rPr>
          <w:rFonts w:hint="eastAsia" w:ascii="仿宋_GB2312" w:eastAsia="仿宋_GB2312"/>
          <w:sz w:val="32"/>
          <w:lang w:val="en-US" w:eastAsia="zh-CN"/>
        </w:rPr>
        <w:t>80</w:t>
      </w:r>
      <w:r>
        <w:rPr>
          <w:rFonts w:ascii="仿宋_GB2312" w:eastAsia="仿宋_GB2312"/>
          <w:sz w:val="32"/>
        </w:rPr>
        <w:t>%，决算数小于年初预算数的原因主要是</w:t>
      </w:r>
      <w:r>
        <w:rPr>
          <w:rFonts w:hint="eastAsia" w:ascii="仿宋_GB2312" w:eastAsia="仿宋_GB2312"/>
          <w:sz w:val="32"/>
          <w:lang w:eastAsia="zh-CN"/>
        </w:rPr>
        <w:t>购置车辆优惠</w:t>
      </w:r>
      <w:r>
        <w:rPr>
          <w:rFonts w:ascii="仿宋_GB2312" w:eastAsia="仿宋_GB2312"/>
          <w:sz w:val="32"/>
        </w:rPr>
        <w:t>。</w:t>
      </w:r>
    </w:p>
    <w:p>
      <w:pPr>
        <w:pStyle w:val="8"/>
        <w:autoSpaceDN w:val="0"/>
        <w:spacing w:line="560" w:lineRule="exact"/>
        <w:ind w:firstLine="640"/>
        <w:rPr>
          <w:rFonts w:hint="default" w:ascii="仿宋_GB2312" w:eastAsia="仿宋_GB2312"/>
          <w:sz w:val="32"/>
        </w:rPr>
      </w:pPr>
      <w:r>
        <w:rPr>
          <w:rFonts w:ascii="仿宋_GB2312" w:eastAsia="仿宋_GB2312"/>
          <w:sz w:val="32"/>
        </w:rPr>
        <w:t>公务用车运行维护费</w:t>
      </w:r>
      <w:r>
        <w:rPr>
          <w:rFonts w:hint="eastAsia" w:ascii="仿宋_GB2312" w:eastAsia="仿宋_GB2312"/>
          <w:sz w:val="32"/>
          <w:lang w:val="en-US" w:eastAsia="zh-CN"/>
        </w:rPr>
        <w:t>2.51</w:t>
      </w:r>
      <w:r>
        <w:rPr>
          <w:rFonts w:ascii="仿宋_GB2312" w:eastAsia="仿宋_GB2312"/>
          <w:sz w:val="32"/>
        </w:rPr>
        <w:t>万元，主要用于</w:t>
      </w:r>
      <w:r>
        <w:rPr>
          <w:rFonts w:hint="eastAsia" w:ascii="仿宋_GB2312" w:eastAsia="仿宋_GB2312"/>
          <w:sz w:val="32"/>
          <w:highlight w:val="none"/>
          <w:lang w:eastAsia="zh-CN"/>
        </w:rPr>
        <w:t>公务机要用车的维护</w:t>
      </w:r>
      <w:r>
        <w:rPr>
          <w:rFonts w:ascii="仿宋_GB2312" w:eastAsia="仿宋_GB2312"/>
          <w:sz w:val="32"/>
        </w:rPr>
        <w:t>等</w:t>
      </w:r>
      <w:r>
        <w:rPr>
          <w:rFonts w:hint="default" w:ascii="仿宋_GB2312" w:eastAsia="仿宋_GB2312"/>
          <w:sz w:val="32"/>
        </w:rPr>
        <w:t>,</w:t>
      </w:r>
      <w:r>
        <w:rPr>
          <w:rFonts w:ascii="仿宋_GB2312" w:eastAsia="仿宋_GB2312"/>
          <w:sz w:val="32"/>
        </w:rPr>
        <w:t>截至年末使用一般公共预算财政拨款开支的公务用车保有量</w:t>
      </w:r>
      <w:r>
        <w:rPr>
          <w:rFonts w:hint="eastAsia" w:ascii="仿宋_GB2312" w:eastAsia="仿宋_GB2312"/>
          <w:sz w:val="32"/>
          <w:lang w:val="en-US" w:eastAsia="zh-CN"/>
        </w:rPr>
        <w:t>2</w:t>
      </w:r>
      <w:r>
        <w:rPr>
          <w:rFonts w:ascii="仿宋_GB2312" w:eastAsia="仿宋_GB2312"/>
          <w:sz w:val="32"/>
        </w:rPr>
        <w:t>辆。完成年初预算的</w:t>
      </w:r>
      <w:r>
        <w:rPr>
          <w:rFonts w:hint="eastAsia" w:ascii="仿宋_GB2312" w:eastAsia="仿宋_GB2312"/>
          <w:sz w:val="32"/>
          <w:lang w:val="en-US" w:eastAsia="zh-CN"/>
        </w:rPr>
        <w:t>42</w:t>
      </w:r>
      <w:r>
        <w:rPr>
          <w:rFonts w:ascii="仿宋_GB2312" w:eastAsia="仿宋_GB2312"/>
          <w:sz w:val="32"/>
        </w:rPr>
        <w:t>%，决算数小于年初预算数的原因主要是</w:t>
      </w:r>
      <w:r>
        <w:rPr>
          <w:rFonts w:ascii="仿宋" w:hAnsi="仿宋" w:eastAsia="仿宋" w:cs="仿宋_GB2312"/>
          <w:sz w:val="32"/>
          <w:szCs w:val="32"/>
        </w:rPr>
        <w:t>位领导高度重视，</w:t>
      </w:r>
      <w:r>
        <w:rPr>
          <w:rFonts w:ascii="仿宋_GB2312" w:eastAsia="仿宋_GB2312"/>
          <w:sz w:val="32"/>
        </w:rPr>
        <w:t>严格落实过紧日子的精神，</w:t>
      </w:r>
      <w:r>
        <w:rPr>
          <w:rFonts w:ascii="仿宋" w:hAnsi="仿宋" w:eastAsia="仿宋" w:cs="仿宋_GB2312"/>
          <w:sz w:val="32"/>
          <w:szCs w:val="32"/>
        </w:rPr>
        <w:t>加强管理，严格控制“三公”经费支出，定点加油和维修，统一进行结算</w:t>
      </w:r>
      <w:r>
        <w:rPr>
          <w:rFonts w:ascii="仿宋_GB2312" w:eastAsia="仿宋_GB2312"/>
          <w:sz w:val="32"/>
        </w:rPr>
        <w:t>。</w:t>
      </w:r>
    </w:p>
    <w:p>
      <w:pPr>
        <w:pStyle w:val="8"/>
        <w:spacing w:line="560" w:lineRule="exact"/>
        <w:ind w:firstLine="645"/>
        <w:rPr>
          <w:rFonts w:hint="default" w:ascii="黑体" w:eastAsia="黑体"/>
          <w:sz w:val="32"/>
        </w:rPr>
      </w:pPr>
      <w:r>
        <w:rPr>
          <w:rFonts w:ascii="黑体" w:eastAsia="黑体"/>
          <w:sz w:val="32"/>
        </w:rPr>
        <w:t>四、一般公共预算财政拨款基本支出决算情况说明</w:t>
      </w:r>
    </w:p>
    <w:p>
      <w:pPr>
        <w:pStyle w:val="8"/>
        <w:spacing w:line="560" w:lineRule="exact"/>
        <w:ind w:firstLine="645"/>
        <w:rPr>
          <w:rFonts w:hint="default" w:ascii="仿宋_GB2312" w:eastAsia="仿宋_GB2312"/>
          <w:sz w:val="32"/>
        </w:rPr>
      </w:pPr>
      <w:r>
        <w:rPr>
          <w:rFonts w:ascii="仿宋_GB2312" w:eastAsia="仿宋_GB2312"/>
          <w:sz w:val="32"/>
        </w:rPr>
        <w:t>2021年度一般公共预算财政拨款基本支出</w:t>
      </w:r>
      <w:r>
        <w:rPr>
          <w:rFonts w:hint="eastAsia" w:ascii="仿宋_GB2312" w:eastAsia="仿宋_GB2312"/>
          <w:sz w:val="32"/>
          <w:lang w:val="en-US" w:eastAsia="zh-CN"/>
        </w:rPr>
        <w:t>1917.17</w:t>
      </w:r>
      <w:r>
        <w:rPr>
          <w:rFonts w:ascii="仿宋_GB2312" w:eastAsia="仿宋_GB2312"/>
          <w:sz w:val="32"/>
        </w:rPr>
        <w:t>万元，其中：人员经费</w:t>
      </w:r>
      <w:r>
        <w:rPr>
          <w:rFonts w:hint="eastAsia" w:ascii="仿宋_GB2312" w:eastAsia="仿宋_GB2312"/>
          <w:sz w:val="32"/>
          <w:lang w:val="en-US" w:eastAsia="zh-CN"/>
        </w:rPr>
        <w:t>1710.1</w:t>
      </w:r>
      <w:r>
        <w:rPr>
          <w:rFonts w:ascii="仿宋_GB2312" w:eastAsia="仿宋_GB2312"/>
          <w:sz w:val="32"/>
        </w:rPr>
        <w:t>万元，主要包括基本工资、津贴补贴、奖金、其他社会保障缴费、机关事业单位基本养老保险缴费、其他工资福利支出、离休费、退休费、抚恤金、生活补助、奖励金、住房公积金、采暖补贴、其他对个人和家庭补助的支出；日常公用经费</w:t>
      </w:r>
      <w:r>
        <w:rPr>
          <w:rFonts w:hint="eastAsia" w:ascii="仿宋_GB2312" w:eastAsia="仿宋_GB2312"/>
          <w:sz w:val="32"/>
          <w:lang w:val="en-US" w:eastAsia="zh-CN"/>
        </w:rPr>
        <w:t>207.07</w:t>
      </w:r>
      <w:r>
        <w:rPr>
          <w:rFonts w:ascii="仿宋_GB2312" w:eastAsia="仿宋_GB2312"/>
          <w:sz w:val="32"/>
        </w:rPr>
        <w:t>万元，主要包括办公费、印刷费、手续费、水费、电费、邮电费、取暖费、物业费、差旅费、因公出国（境）费用、维修（护）费、租赁费、会议费、培训费、公务接待费、劳务费、委托业务费、工会经费、福利费、公务用车运行维护费、其他交通费用、其他商品和服务支出、办公设备购置、专用设备购置、信息网络及软件购置更新。</w:t>
      </w:r>
    </w:p>
    <w:p>
      <w:pPr>
        <w:pStyle w:val="8"/>
        <w:spacing w:line="560" w:lineRule="exact"/>
        <w:ind w:firstLine="640"/>
        <w:rPr>
          <w:rFonts w:hint="default" w:ascii="黑体" w:eastAsia="黑体"/>
          <w:sz w:val="32"/>
        </w:rPr>
      </w:pPr>
      <w:r>
        <w:rPr>
          <w:rFonts w:ascii="黑体" w:eastAsia="黑体"/>
          <w:sz w:val="32"/>
        </w:rPr>
        <w:t>五、其他重要事项的情况说明</w:t>
      </w:r>
    </w:p>
    <w:p>
      <w:pPr>
        <w:pStyle w:val="8"/>
        <w:spacing w:line="560" w:lineRule="exact"/>
        <w:ind w:firstLine="640"/>
        <w:rPr>
          <w:rFonts w:hint="default" w:ascii="楷体_GB2312" w:eastAsia="楷体_GB2312"/>
          <w:b/>
          <w:sz w:val="32"/>
        </w:rPr>
      </w:pPr>
      <w:r>
        <w:rPr>
          <w:rFonts w:ascii="楷体_GB2312" w:eastAsia="楷体_GB2312"/>
          <w:b/>
          <w:sz w:val="32"/>
        </w:rPr>
        <w:t>（一）机关运行经费支出情况。</w:t>
      </w:r>
    </w:p>
    <w:p>
      <w:pPr>
        <w:pStyle w:val="8"/>
        <w:spacing w:line="560" w:lineRule="exact"/>
        <w:ind w:firstLine="640"/>
        <w:rPr>
          <w:rFonts w:hint="default" w:ascii="仿宋_GB2312" w:eastAsia="仿宋_GB2312"/>
          <w:sz w:val="32"/>
        </w:rPr>
      </w:pPr>
      <w:r>
        <w:rPr>
          <w:rFonts w:ascii="仿宋_GB2312" w:eastAsia="仿宋_GB2312"/>
          <w:sz w:val="32"/>
        </w:rPr>
        <w:t>2021年度机关运行经费支出</w:t>
      </w:r>
      <w:r>
        <w:rPr>
          <w:rFonts w:hint="eastAsia" w:ascii="仿宋_GB2312" w:eastAsia="仿宋_GB2312"/>
          <w:sz w:val="32"/>
          <w:lang w:val="en-US" w:eastAsia="zh-CN"/>
        </w:rPr>
        <w:t>207.07</w:t>
      </w:r>
      <w:r>
        <w:rPr>
          <w:rFonts w:ascii="仿宋_GB2312" w:eastAsia="仿宋_GB2312"/>
          <w:sz w:val="32"/>
        </w:rPr>
        <w:t>万元（与部门决算中行政单位和参照公务员法管理事业单位一般公共预算财政拨款基本支出中公用经费之和一致），比上年决算数减少</w:t>
      </w:r>
      <w:r>
        <w:rPr>
          <w:rFonts w:hint="eastAsia" w:ascii="仿宋_GB2312" w:eastAsia="仿宋_GB2312"/>
          <w:sz w:val="32"/>
          <w:lang w:val="en-US" w:eastAsia="zh-CN"/>
        </w:rPr>
        <w:t>0.78</w:t>
      </w:r>
      <w:r>
        <w:rPr>
          <w:rFonts w:ascii="仿宋_GB2312" w:eastAsia="仿宋_GB2312"/>
          <w:sz w:val="32"/>
        </w:rPr>
        <w:t>万元，降低</w:t>
      </w:r>
      <w:r>
        <w:rPr>
          <w:rFonts w:hint="eastAsia" w:ascii="仿宋_GB2312" w:eastAsia="仿宋_GB2312"/>
          <w:sz w:val="32"/>
          <w:lang w:val="en-US" w:eastAsia="zh-CN"/>
        </w:rPr>
        <w:t>1</w:t>
      </w:r>
      <w:r>
        <w:rPr>
          <w:rFonts w:ascii="仿宋_GB2312" w:eastAsia="仿宋_GB2312"/>
          <w:sz w:val="32"/>
        </w:rPr>
        <w:t>%，主要原因是</w:t>
      </w:r>
      <w:r>
        <w:rPr>
          <w:rFonts w:hint="eastAsia" w:ascii="仿宋_GB2312" w:eastAsia="仿宋_GB2312"/>
          <w:sz w:val="32"/>
          <w:lang w:eastAsia="zh-CN"/>
        </w:rPr>
        <w:t>人员退休费用减少</w:t>
      </w:r>
      <w:r>
        <w:rPr>
          <w:rFonts w:ascii="仿宋_GB2312" w:eastAsia="仿宋_GB2312"/>
          <w:sz w:val="32"/>
        </w:rPr>
        <w:t>。</w:t>
      </w:r>
    </w:p>
    <w:p>
      <w:pPr>
        <w:pStyle w:val="8"/>
        <w:spacing w:line="560" w:lineRule="exact"/>
        <w:ind w:firstLine="640"/>
        <w:rPr>
          <w:rFonts w:hint="default" w:ascii="楷体_GB2312" w:eastAsia="楷体_GB2312"/>
          <w:b/>
          <w:sz w:val="32"/>
        </w:rPr>
      </w:pPr>
      <w:r>
        <w:rPr>
          <w:rFonts w:ascii="楷体_GB2312" w:eastAsia="楷体_GB2312"/>
          <w:b/>
          <w:sz w:val="32"/>
        </w:rPr>
        <w:t>（二）政府采购支出情况。</w:t>
      </w:r>
    </w:p>
    <w:p>
      <w:pPr>
        <w:pStyle w:val="8"/>
        <w:spacing w:line="560" w:lineRule="exact"/>
        <w:ind w:firstLine="640"/>
        <w:rPr>
          <w:rFonts w:hint="default" w:ascii="仿宋_GB2312" w:eastAsia="仿宋_GB2312"/>
          <w:sz w:val="32"/>
        </w:rPr>
      </w:pPr>
      <w:r>
        <w:rPr>
          <w:rFonts w:ascii="仿宋_GB2312" w:eastAsia="仿宋_GB2312"/>
          <w:sz w:val="32"/>
        </w:rPr>
        <w:t>2021年政府采购支出总额</w:t>
      </w:r>
      <w:r>
        <w:rPr>
          <w:rFonts w:hint="eastAsia" w:ascii="仿宋_GB2312" w:eastAsia="仿宋_GB2312"/>
          <w:sz w:val="32"/>
          <w:lang w:val="en-US" w:eastAsia="zh-CN"/>
        </w:rPr>
        <w:t>1332.27</w:t>
      </w:r>
      <w:r>
        <w:rPr>
          <w:rFonts w:ascii="仿宋_GB2312" w:eastAsia="仿宋_GB2312"/>
          <w:sz w:val="32"/>
        </w:rPr>
        <w:t>万元，其中：政府采购货物支出</w:t>
      </w:r>
      <w:r>
        <w:rPr>
          <w:rFonts w:hint="eastAsia" w:ascii="仿宋_GB2312" w:eastAsia="仿宋_GB2312"/>
          <w:sz w:val="32"/>
          <w:lang w:val="en-US" w:eastAsia="zh-CN"/>
        </w:rPr>
        <w:t>827.2</w:t>
      </w:r>
      <w:r>
        <w:rPr>
          <w:rFonts w:ascii="仿宋_GB2312" w:eastAsia="仿宋_GB2312"/>
          <w:sz w:val="32"/>
        </w:rPr>
        <w:t>万元，政府采购工程支出</w:t>
      </w:r>
      <w:r>
        <w:rPr>
          <w:rFonts w:hint="eastAsia" w:ascii="仿宋_GB2312" w:eastAsia="仿宋_GB2312"/>
          <w:sz w:val="32"/>
          <w:lang w:val="en-US" w:eastAsia="zh-CN"/>
        </w:rPr>
        <w:t>53.53</w:t>
      </w:r>
      <w:r>
        <w:rPr>
          <w:rFonts w:ascii="仿宋_GB2312" w:eastAsia="仿宋_GB2312"/>
          <w:sz w:val="32"/>
        </w:rPr>
        <w:t>万元，政府采购服务支出</w:t>
      </w:r>
      <w:r>
        <w:rPr>
          <w:rFonts w:hint="eastAsia" w:ascii="仿宋_GB2312" w:eastAsia="仿宋_GB2312"/>
          <w:sz w:val="32"/>
          <w:lang w:val="en-US" w:eastAsia="zh-CN"/>
        </w:rPr>
        <w:t>451.54</w:t>
      </w:r>
      <w:r>
        <w:rPr>
          <w:rFonts w:ascii="仿宋_GB2312" w:eastAsia="仿宋_GB2312"/>
          <w:sz w:val="32"/>
        </w:rPr>
        <w:t>万元。授予中小企业合同金额</w:t>
      </w:r>
      <w:r>
        <w:rPr>
          <w:rFonts w:hint="eastAsia" w:ascii="仿宋_GB2312" w:eastAsia="仿宋_GB2312"/>
          <w:sz w:val="32"/>
          <w:lang w:val="en-US" w:eastAsia="zh-CN"/>
        </w:rPr>
        <w:t>84.5</w:t>
      </w:r>
      <w:r>
        <w:rPr>
          <w:rFonts w:ascii="仿宋_GB2312" w:eastAsia="仿宋_GB2312"/>
          <w:sz w:val="32"/>
        </w:rPr>
        <w:t>万元，占政府采购支出总额的</w:t>
      </w:r>
      <w:r>
        <w:rPr>
          <w:rFonts w:hint="eastAsia" w:ascii="仿宋_GB2312" w:eastAsia="仿宋_GB2312"/>
          <w:sz w:val="32"/>
          <w:lang w:val="en-US" w:eastAsia="zh-CN"/>
        </w:rPr>
        <w:t>6</w:t>
      </w:r>
      <w:r>
        <w:rPr>
          <w:rFonts w:ascii="仿宋_GB2312" w:eastAsia="仿宋_GB2312"/>
          <w:sz w:val="32"/>
        </w:rPr>
        <w:t>%，其中：授予小微企业合同金额</w:t>
      </w:r>
      <w:r>
        <w:rPr>
          <w:rFonts w:hint="eastAsia" w:ascii="仿宋_GB2312" w:eastAsia="仿宋_GB2312"/>
          <w:sz w:val="32"/>
          <w:lang w:val="en-US" w:eastAsia="zh-CN"/>
        </w:rPr>
        <w:t>84.5</w:t>
      </w:r>
      <w:r>
        <w:rPr>
          <w:rFonts w:ascii="仿宋_GB2312" w:eastAsia="仿宋_GB2312"/>
          <w:sz w:val="32"/>
        </w:rPr>
        <w:t>万元，占政府采购支出总额的</w:t>
      </w:r>
      <w:r>
        <w:rPr>
          <w:rFonts w:hint="eastAsia" w:ascii="仿宋_GB2312" w:eastAsia="仿宋_GB2312"/>
          <w:sz w:val="32"/>
          <w:lang w:val="en-US" w:eastAsia="zh-CN"/>
        </w:rPr>
        <w:t>6</w:t>
      </w:r>
      <w:r>
        <w:rPr>
          <w:rFonts w:ascii="仿宋_GB2312" w:eastAsia="仿宋_GB2312"/>
          <w:sz w:val="32"/>
        </w:rPr>
        <w:t>%；货物采购授予中小企业合同金额占货物支出金额的</w:t>
      </w:r>
      <w:r>
        <w:rPr>
          <w:rFonts w:hint="eastAsia" w:ascii="仿宋_GB2312" w:eastAsia="仿宋_GB2312"/>
          <w:sz w:val="32"/>
          <w:lang w:val="en-US" w:eastAsia="zh-CN"/>
        </w:rPr>
        <w:t>0</w:t>
      </w:r>
      <w:r>
        <w:rPr>
          <w:rFonts w:ascii="仿宋_GB2312" w:eastAsia="仿宋_GB2312"/>
          <w:sz w:val="32"/>
        </w:rPr>
        <w:t>%；工程采购授予中小企业合同金额占工程支出金额的</w:t>
      </w:r>
      <w:r>
        <w:rPr>
          <w:rFonts w:hint="eastAsia" w:ascii="仿宋_GB2312" w:eastAsia="仿宋_GB2312"/>
          <w:sz w:val="32"/>
          <w:lang w:val="en-US" w:eastAsia="zh-CN"/>
        </w:rPr>
        <w:t>0</w:t>
      </w:r>
      <w:r>
        <w:rPr>
          <w:rFonts w:ascii="仿宋_GB2312" w:eastAsia="仿宋_GB2312"/>
          <w:sz w:val="32"/>
        </w:rPr>
        <w:t>%；服务采购授予中小企业合同金额占服务支出金额的</w:t>
      </w:r>
      <w:r>
        <w:rPr>
          <w:rFonts w:hint="eastAsia" w:ascii="仿宋_GB2312" w:eastAsia="仿宋_GB2312"/>
          <w:sz w:val="32"/>
          <w:lang w:val="en-US" w:eastAsia="zh-CN"/>
        </w:rPr>
        <w:t>100</w:t>
      </w:r>
      <w:r>
        <w:rPr>
          <w:rFonts w:ascii="仿宋_GB2312" w:eastAsia="仿宋_GB2312"/>
          <w:sz w:val="32"/>
        </w:rPr>
        <w:t>%。</w:t>
      </w:r>
    </w:p>
    <w:p>
      <w:pPr>
        <w:pStyle w:val="8"/>
        <w:spacing w:line="560" w:lineRule="exact"/>
        <w:ind w:firstLine="640"/>
        <w:rPr>
          <w:rFonts w:hint="default" w:ascii="楷体_GB2312" w:eastAsia="楷体_GB2312"/>
          <w:b/>
          <w:sz w:val="32"/>
        </w:rPr>
      </w:pPr>
      <w:r>
        <w:rPr>
          <w:rFonts w:ascii="楷体_GB2312" w:eastAsia="楷体_GB2312"/>
          <w:b/>
          <w:sz w:val="32"/>
        </w:rPr>
        <w:t>（三）国有资产占用情况。</w:t>
      </w:r>
    </w:p>
    <w:p>
      <w:pPr>
        <w:pStyle w:val="8"/>
        <w:spacing w:line="560" w:lineRule="exact"/>
        <w:ind w:firstLine="640"/>
        <w:rPr>
          <w:rFonts w:hint="default" w:ascii="仿宋_GB2312" w:eastAsia="仿宋_GB2312"/>
          <w:sz w:val="32"/>
        </w:rPr>
      </w:pPr>
      <w:r>
        <w:rPr>
          <w:rFonts w:ascii="仿宋_GB2312" w:eastAsia="仿宋_GB2312"/>
          <w:sz w:val="32"/>
        </w:rPr>
        <w:t>截至2021年12月31日，共有车辆</w:t>
      </w:r>
      <w:r>
        <w:rPr>
          <w:rFonts w:hint="eastAsia" w:ascii="仿宋_GB2312" w:eastAsia="仿宋_GB2312"/>
          <w:sz w:val="32"/>
          <w:lang w:val="en-US" w:eastAsia="zh-CN"/>
        </w:rPr>
        <w:t>20</w:t>
      </w:r>
      <w:r>
        <w:rPr>
          <w:rFonts w:ascii="仿宋_GB2312" w:eastAsia="仿宋_GB2312"/>
          <w:sz w:val="32"/>
        </w:rPr>
        <w:t>辆，其中：副省级以上领导干部用车</w:t>
      </w:r>
      <w:r>
        <w:rPr>
          <w:rFonts w:hint="eastAsia" w:ascii="仿宋_GB2312" w:eastAsia="仿宋_GB2312"/>
          <w:sz w:val="32"/>
          <w:lang w:val="en-US" w:eastAsia="zh-CN"/>
        </w:rPr>
        <w:t>0</w:t>
      </w:r>
      <w:r>
        <w:rPr>
          <w:rFonts w:ascii="仿宋_GB2312" w:eastAsia="仿宋_GB2312"/>
          <w:sz w:val="32"/>
        </w:rPr>
        <w:t>辆，主要领导干部用车</w:t>
      </w:r>
      <w:r>
        <w:rPr>
          <w:rFonts w:hint="eastAsia" w:ascii="仿宋_GB2312" w:eastAsia="仿宋_GB2312"/>
          <w:sz w:val="32"/>
          <w:lang w:val="en-US" w:eastAsia="zh-CN"/>
        </w:rPr>
        <w:t>0</w:t>
      </w:r>
      <w:r>
        <w:rPr>
          <w:rFonts w:ascii="仿宋_GB2312" w:eastAsia="仿宋_GB2312"/>
          <w:sz w:val="32"/>
        </w:rPr>
        <w:t>辆，机要通讯用车</w:t>
      </w:r>
      <w:r>
        <w:rPr>
          <w:rFonts w:hint="eastAsia" w:ascii="仿宋_GB2312" w:eastAsia="仿宋_GB2312"/>
          <w:sz w:val="32"/>
          <w:lang w:val="en-US" w:eastAsia="zh-CN"/>
        </w:rPr>
        <w:t>3</w:t>
      </w:r>
      <w:r>
        <w:rPr>
          <w:rFonts w:ascii="仿宋_GB2312" w:eastAsia="仿宋_GB2312"/>
          <w:sz w:val="32"/>
        </w:rPr>
        <w:t>辆，应急保障用车</w:t>
      </w:r>
      <w:r>
        <w:rPr>
          <w:rFonts w:hint="eastAsia" w:ascii="仿宋_GB2312" w:eastAsia="仿宋_GB2312"/>
          <w:sz w:val="32"/>
          <w:lang w:val="en-US" w:eastAsia="zh-CN"/>
        </w:rPr>
        <w:t>0</w:t>
      </w:r>
      <w:r>
        <w:rPr>
          <w:rFonts w:ascii="仿宋_GB2312" w:eastAsia="仿宋_GB2312"/>
          <w:sz w:val="32"/>
        </w:rPr>
        <w:t>辆，执法执勤用车</w:t>
      </w:r>
      <w:r>
        <w:rPr>
          <w:rFonts w:hint="eastAsia" w:ascii="仿宋_GB2312" w:eastAsia="仿宋_GB2312"/>
          <w:sz w:val="32"/>
          <w:lang w:val="en-US" w:eastAsia="zh-CN"/>
        </w:rPr>
        <w:t>0</w:t>
      </w:r>
      <w:r>
        <w:rPr>
          <w:rFonts w:ascii="仿宋_GB2312" w:eastAsia="仿宋_GB2312"/>
          <w:sz w:val="32"/>
        </w:rPr>
        <w:t>辆，特种专业技术用车</w:t>
      </w:r>
      <w:r>
        <w:rPr>
          <w:rFonts w:hint="eastAsia" w:ascii="仿宋_GB2312" w:eastAsia="仿宋_GB2312"/>
          <w:sz w:val="32"/>
          <w:lang w:val="en-US" w:eastAsia="zh-CN"/>
        </w:rPr>
        <w:t>2</w:t>
      </w:r>
      <w:r>
        <w:rPr>
          <w:rFonts w:ascii="仿宋_GB2312" w:eastAsia="仿宋_GB2312"/>
          <w:sz w:val="32"/>
        </w:rPr>
        <w:t>辆，离退休干部用车</w:t>
      </w:r>
      <w:r>
        <w:rPr>
          <w:rFonts w:hint="eastAsia" w:ascii="仿宋_GB2312" w:eastAsia="仿宋_GB2312"/>
          <w:sz w:val="32"/>
          <w:lang w:val="en-US" w:eastAsia="zh-CN"/>
        </w:rPr>
        <w:t>0</w:t>
      </w:r>
      <w:r>
        <w:rPr>
          <w:rFonts w:ascii="仿宋_GB2312" w:eastAsia="仿宋_GB2312"/>
          <w:sz w:val="32"/>
        </w:rPr>
        <w:t>辆，其他用车</w:t>
      </w:r>
      <w:r>
        <w:rPr>
          <w:rFonts w:hint="eastAsia" w:ascii="仿宋_GB2312" w:eastAsia="仿宋_GB2312"/>
          <w:sz w:val="32"/>
          <w:lang w:val="en-US" w:eastAsia="zh-CN"/>
        </w:rPr>
        <w:t>14</w:t>
      </w:r>
      <w:r>
        <w:rPr>
          <w:rFonts w:ascii="仿宋_GB2312" w:eastAsia="仿宋_GB2312"/>
          <w:sz w:val="32"/>
        </w:rPr>
        <w:t>辆，其他用车主要是其他用车主要是</w:t>
      </w:r>
      <w:r>
        <w:rPr>
          <w:rFonts w:hint="eastAsia" w:ascii="仿宋_GB2312" w:eastAsia="仿宋_GB2312"/>
          <w:sz w:val="32"/>
          <w:lang w:eastAsia="zh-CN"/>
        </w:rPr>
        <w:t>报废待处置车辆</w:t>
      </w:r>
      <w:r>
        <w:rPr>
          <w:rFonts w:ascii="仿宋_GB2312" w:eastAsia="仿宋_GB2312"/>
          <w:sz w:val="32"/>
        </w:rPr>
        <w:t>；单位价值50万元以上通用设备</w:t>
      </w:r>
      <w:r>
        <w:rPr>
          <w:rFonts w:hint="eastAsia" w:ascii="仿宋_GB2312" w:eastAsia="仿宋_GB2312"/>
          <w:sz w:val="32"/>
          <w:lang w:val="en-US" w:eastAsia="zh-CN"/>
        </w:rPr>
        <w:t>2</w:t>
      </w:r>
      <w:r>
        <w:rPr>
          <w:rFonts w:ascii="仿宋_GB2312" w:eastAsia="仿宋_GB2312"/>
          <w:sz w:val="32"/>
        </w:rPr>
        <w:t>台（套），单价100万元以上专用设备</w:t>
      </w:r>
      <w:r>
        <w:rPr>
          <w:rFonts w:hint="eastAsia" w:ascii="仿宋_GB2312" w:eastAsia="仿宋_GB2312"/>
          <w:sz w:val="32"/>
          <w:lang w:val="en-US" w:eastAsia="zh-CN"/>
        </w:rPr>
        <w:t>1</w:t>
      </w:r>
      <w:r>
        <w:rPr>
          <w:rFonts w:ascii="仿宋_GB2312" w:eastAsia="仿宋_GB2312"/>
          <w:sz w:val="32"/>
        </w:rPr>
        <w:t>台（套）。</w:t>
      </w:r>
    </w:p>
    <w:p>
      <w:pPr>
        <w:pStyle w:val="8"/>
        <w:spacing w:line="560" w:lineRule="exact"/>
        <w:ind w:firstLine="640"/>
        <w:rPr>
          <w:rFonts w:hint="default" w:ascii="楷体_GB2312" w:eastAsia="楷体_GB2312"/>
          <w:b/>
          <w:sz w:val="32"/>
        </w:rPr>
      </w:pPr>
      <w:r>
        <w:rPr>
          <w:rFonts w:ascii="楷体_GB2312" w:eastAsia="楷体_GB2312"/>
          <w:b/>
          <w:sz w:val="32"/>
        </w:rPr>
        <w:t>（四）预算绩效管理工作开展情况。</w:t>
      </w:r>
    </w:p>
    <w:p>
      <w:pPr>
        <w:widowControl/>
        <w:spacing w:line="560" w:lineRule="exact"/>
        <w:ind w:firstLine="640" w:firstLineChars="200"/>
        <w:rPr>
          <w:rFonts w:hint="default" w:ascii="仿宋_GB2312" w:eastAsia="仿宋_GB2312"/>
          <w:sz w:val="32"/>
        </w:rPr>
      </w:pPr>
      <w:r>
        <w:rPr>
          <w:rFonts w:hint="default" w:ascii="仿宋_GB2312" w:eastAsia="仿宋_GB2312"/>
          <w:sz w:val="32"/>
        </w:rPr>
        <w:t>1.整体绩效自评情况（附部门整体绩效自评表）。组织对</w:t>
      </w:r>
      <w:r>
        <w:rPr>
          <w:rFonts w:hint="eastAsia" w:ascii="仿宋_GB2312" w:eastAsia="仿宋_GB2312"/>
          <w:sz w:val="32"/>
          <w:lang w:val="en-US" w:eastAsia="zh-CN"/>
        </w:rPr>
        <w:t>1</w:t>
      </w:r>
      <w:r>
        <w:rPr>
          <w:rFonts w:hint="default" w:ascii="仿宋_GB2312" w:eastAsia="仿宋_GB2312"/>
          <w:sz w:val="32"/>
        </w:rPr>
        <w:t>个单位开展整体绩效自评，涉及资金</w:t>
      </w:r>
      <w:r>
        <w:rPr>
          <w:rFonts w:hint="eastAsia" w:ascii="仿宋_GB2312" w:eastAsia="仿宋_GB2312"/>
          <w:sz w:val="32"/>
          <w:lang w:val="en-US" w:eastAsia="zh-CN"/>
        </w:rPr>
        <w:t>5371.87</w:t>
      </w:r>
      <w:r>
        <w:rPr>
          <w:rFonts w:hint="default" w:ascii="仿宋_GB2312" w:eastAsia="仿宋_GB2312"/>
          <w:sz w:val="32"/>
        </w:rPr>
        <w:t>万元，自评平均分</w:t>
      </w:r>
      <w:r>
        <w:rPr>
          <w:rFonts w:hint="eastAsia" w:ascii="仿宋_GB2312" w:eastAsia="仿宋_GB2312"/>
          <w:sz w:val="32"/>
          <w:lang w:val="en-US" w:eastAsia="zh-CN"/>
        </w:rPr>
        <w:t>94.4</w:t>
      </w:r>
      <w:r>
        <w:rPr>
          <w:rFonts w:hint="default" w:ascii="仿宋_GB2312" w:eastAsia="仿宋_GB2312"/>
          <w:sz w:val="32"/>
        </w:rPr>
        <w:t>分。</w:t>
      </w:r>
    </w:p>
    <w:p>
      <w:pPr>
        <w:widowControl/>
        <w:spacing w:line="560" w:lineRule="exact"/>
        <w:ind w:firstLine="640" w:firstLineChars="200"/>
        <w:rPr>
          <w:rFonts w:hint="default" w:ascii="仿宋_GB2312" w:eastAsia="仿宋_GB2312"/>
          <w:sz w:val="32"/>
        </w:rPr>
      </w:pPr>
      <w:r>
        <w:rPr>
          <w:rFonts w:hint="default" w:ascii="仿宋_GB2312" w:eastAsia="仿宋_GB2312"/>
          <w:sz w:val="32"/>
        </w:rPr>
        <w:t>2.项目绩效自评情况（附预算项目绩效自评表）。根据预算绩效管理要求，我部门组织对2021年度预算项目支出全面开展绩效自评，共涉及预算支出项目</w:t>
      </w:r>
      <w:r>
        <w:rPr>
          <w:rFonts w:hint="eastAsia" w:ascii="仿宋_GB2312" w:eastAsia="仿宋_GB2312"/>
          <w:sz w:val="32"/>
          <w:lang w:val="en-US" w:eastAsia="zh-CN"/>
        </w:rPr>
        <w:t>1</w:t>
      </w:r>
      <w:r>
        <w:rPr>
          <w:rFonts w:hint="default" w:ascii="仿宋_GB2312" w:eastAsia="仿宋_GB2312"/>
          <w:sz w:val="32"/>
        </w:rPr>
        <w:t>个，涉及资金</w:t>
      </w:r>
      <w:r>
        <w:rPr>
          <w:rFonts w:hint="eastAsia" w:ascii="仿宋_GB2312" w:eastAsia="仿宋_GB2312"/>
          <w:sz w:val="32"/>
          <w:lang w:val="en-US" w:eastAsia="zh-CN"/>
        </w:rPr>
        <w:t>1000</w:t>
      </w:r>
      <w:r>
        <w:rPr>
          <w:rFonts w:hint="default" w:ascii="仿宋_GB2312" w:eastAsia="仿宋_GB2312"/>
          <w:sz w:val="32"/>
        </w:rPr>
        <w:t>万元，自评覆盖率（开展绩效自评的项目数/年初批复绩效目标</w:t>
      </w:r>
      <w:r>
        <w:rPr>
          <w:rFonts w:hint="default" w:ascii="仿宋_GB2312" w:hAnsi="Times New Roman" w:eastAsia="仿宋_GB2312"/>
          <w:sz w:val="32"/>
        </w:rPr>
        <w:t>的项目数）达到</w:t>
      </w:r>
      <w:r>
        <w:rPr>
          <w:rFonts w:hint="eastAsia" w:ascii="仿宋_GB2312" w:eastAsia="仿宋_GB2312"/>
          <w:sz w:val="32"/>
          <w:lang w:val="en-US" w:eastAsia="zh-CN"/>
        </w:rPr>
        <w:t>100</w:t>
      </w:r>
      <w:r>
        <w:rPr>
          <w:rFonts w:hint="default" w:ascii="仿宋_GB2312" w:hAnsi="Times New Roman" w:eastAsia="仿宋_GB2312"/>
          <w:sz w:val="32"/>
        </w:rPr>
        <w:t>%，自评平均分（开展绩效自评的项目分数总和/开展绩效自评的项目数）</w:t>
      </w:r>
      <w:r>
        <w:rPr>
          <w:rFonts w:hint="eastAsia" w:ascii="仿宋_GB2312" w:eastAsia="仿宋_GB2312"/>
          <w:sz w:val="32"/>
          <w:lang w:val="en-US" w:eastAsia="zh-CN"/>
        </w:rPr>
        <w:t>100</w:t>
      </w:r>
      <w:r>
        <w:rPr>
          <w:rFonts w:hint="default" w:ascii="仿宋_GB2312" w:hAnsi="Times New Roman" w:eastAsia="仿宋_GB2312"/>
          <w:sz w:val="32"/>
        </w:rPr>
        <w:t>分。</w:t>
      </w:r>
    </w:p>
    <w:p>
      <w:pPr>
        <w:widowControl/>
        <w:spacing w:line="560" w:lineRule="exact"/>
        <w:ind w:firstLine="640" w:firstLineChars="200"/>
        <w:rPr>
          <w:rFonts w:hint="default" w:ascii="仿宋_GB2312" w:eastAsia="仿宋_GB2312"/>
          <w:sz w:val="32"/>
        </w:rPr>
      </w:pPr>
      <w:r>
        <w:rPr>
          <w:rFonts w:hint="default" w:ascii="仿宋_GB2312" w:eastAsia="仿宋_GB2312"/>
          <w:sz w:val="32"/>
        </w:rPr>
        <w:t>具体评价结果如下：</w:t>
      </w:r>
    </w:p>
    <w:p>
      <w:pPr>
        <w:widowControl/>
        <w:spacing w:line="560" w:lineRule="exact"/>
        <w:ind w:firstLine="640" w:firstLineChars="200"/>
        <w:rPr>
          <w:rFonts w:hint="default" w:ascii="仿宋_GB2312" w:eastAsia="仿宋_GB2312"/>
          <w:sz w:val="32"/>
        </w:rPr>
      </w:pPr>
      <w:r>
        <w:rPr>
          <w:rFonts w:hint="default" w:ascii="仿宋_GB2312" w:eastAsia="仿宋_GB2312"/>
          <w:sz w:val="32"/>
        </w:rPr>
        <w:t>“和平区足球公园建设补助资金专项”项目自评综述：</w:t>
      </w:r>
    </w:p>
    <w:p>
      <w:pPr>
        <w:widowControl/>
        <w:spacing w:line="560" w:lineRule="exact"/>
        <w:ind w:firstLine="640" w:firstLineChars="200"/>
        <w:rPr>
          <w:rFonts w:hint="default" w:ascii="仿宋_GB2312" w:eastAsia="仿宋_GB2312"/>
          <w:sz w:val="32"/>
        </w:rPr>
      </w:pPr>
      <w:r>
        <w:rPr>
          <w:rFonts w:hint="default" w:ascii="仿宋_GB2312" w:eastAsia="仿宋_GB2312"/>
          <w:sz w:val="32"/>
        </w:rPr>
        <w:t>根据年初设定的绩效目标，项目自评得分</w:t>
      </w:r>
      <w:r>
        <w:rPr>
          <w:rFonts w:hint="eastAsia" w:ascii="仿宋_GB2312" w:eastAsia="仿宋_GB2312"/>
          <w:sz w:val="32"/>
          <w:lang w:val="en-US" w:eastAsia="zh-CN"/>
        </w:rPr>
        <w:t>100</w:t>
      </w:r>
      <w:r>
        <w:rPr>
          <w:rFonts w:hint="default" w:ascii="仿宋_GB2312" w:eastAsia="仿宋_GB2312"/>
          <w:sz w:val="32"/>
        </w:rPr>
        <w:t>分。项目全年预算数为</w:t>
      </w:r>
      <w:r>
        <w:rPr>
          <w:rFonts w:hint="eastAsia" w:ascii="仿宋_GB2312" w:eastAsia="仿宋_GB2312"/>
          <w:sz w:val="32"/>
          <w:lang w:val="en-US" w:eastAsia="zh-CN"/>
        </w:rPr>
        <w:t>1000</w:t>
      </w:r>
      <w:r>
        <w:rPr>
          <w:rFonts w:hint="default" w:ascii="仿宋_GB2312" w:eastAsia="仿宋_GB2312"/>
          <w:sz w:val="32"/>
        </w:rPr>
        <w:t>万元，执行数为</w:t>
      </w:r>
      <w:r>
        <w:rPr>
          <w:rFonts w:hint="eastAsia" w:ascii="仿宋_GB2312" w:eastAsia="仿宋_GB2312"/>
          <w:sz w:val="32"/>
          <w:lang w:val="en-US" w:eastAsia="zh-CN"/>
        </w:rPr>
        <w:t>1000</w:t>
      </w:r>
      <w:r>
        <w:rPr>
          <w:rFonts w:hint="default" w:ascii="仿宋_GB2312" w:eastAsia="仿宋_GB2312"/>
          <w:sz w:val="32"/>
        </w:rPr>
        <w:t>万元，完成预算的</w:t>
      </w:r>
      <w:r>
        <w:rPr>
          <w:rFonts w:hint="eastAsia" w:ascii="仿宋_GB2312" w:eastAsia="仿宋_GB2312"/>
          <w:sz w:val="32"/>
          <w:lang w:val="en-US" w:eastAsia="zh-CN"/>
        </w:rPr>
        <w:t>100</w:t>
      </w:r>
      <w:r>
        <w:rPr>
          <w:rFonts w:hint="default" w:ascii="仿宋_GB2312" w:eastAsia="仿宋_GB2312"/>
          <w:sz w:val="32"/>
        </w:rPr>
        <w:t>%。项目绩效目标完成情况：一是足篮排项目集训竞赛参与人员满意度</w:t>
      </w:r>
      <w:r>
        <w:rPr>
          <w:rFonts w:hint="eastAsia" w:ascii="仿宋_GB2312" w:eastAsia="仿宋_GB2312"/>
          <w:sz w:val="32"/>
          <w:lang w:eastAsia="zh-CN"/>
        </w:rPr>
        <w:t>比率为</w:t>
      </w:r>
      <w:r>
        <w:rPr>
          <w:rFonts w:hint="eastAsia" w:ascii="仿宋_GB2312" w:eastAsia="仿宋_GB2312"/>
          <w:sz w:val="32"/>
          <w:lang w:val="en-US" w:eastAsia="zh-CN"/>
        </w:rPr>
        <w:t>95%，指标完成</w:t>
      </w:r>
      <w:r>
        <w:rPr>
          <w:rFonts w:hint="default" w:ascii="仿宋_GB2312" w:eastAsia="仿宋_GB2312"/>
          <w:sz w:val="32"/>
        </w:rPr>
        <w:t>;二是支持普及推广青少年足球的市县</w:t>
      </w:r>
      <w:r>
        <w:rPr>
          <w:rFonts w:hint="eastAsia" w:ascii="仿宋_GB2312" w:eastAsia="仿宋_GB2312"/>
          <w:sz w:val="32"/>
          <w:lang w:val="en-US" w:eastAsia="zh-CN"/>
        </w:rPr>
        <w:t>300个指标完成</w:t>
      </w:r>
      <w:r>
        <w:rPr>
          <w:rFonts w:hint="default" w:ascii="仿宋_GB2312" w:eastAsia="仿宋_GB2312"/>
          <w:sz w:val="32"/>
        </w:rPr>
        <w:t>;三是体育场馆使用率</w:t>
      </w:r>
      <w:r>
        <w:rPr>
          <w:rFonts w:hint="eastAsia" w:ascii="仿宋_GB2312" w:eastAsia="仿宋_GB2312"/>
          <w:sz w:val="32"/>
          <w:lang w:val="en-US" w:eastAsia="zh-CN"/>
        </w:rPr>
        <w:t>90%，指标完成</w:t>
      </w:r>
      <w:r>
        <w:rPr>
          <w:rFonts w:hint="default" w:ascii="仿宋_GB2312" w:eastAsia="仿宋_GB2312"/>
          <w:sz w:val="32"/>
        </w:rPr>
        <w:t>。</w:t>
      </w:r>
      <w:r>
        <w:rPr>
          <w:rFonts w:hint="eastAsia" w:ascii="仿宋_GB2312" w:eastAsia="仿宋_GB2312"/>
          <w:sz w:val="32"/>
          <w:lang w:eastAsia="zh-CN"/>
        </w:rPr>
        <w:t>四是体育设施完好率</w:t>
      </w:r>
      <w:r>
        <w:rPr>
          <w:rFonts w:hint="eastAsia" w:ascii="仿宋_GB2312" w:eastAsia="仿宋_GB2312"/>
          <w:sz w:val="32"/>
          <w:lang w:val="en-US" w:eastAsia="zh-CN"/>
        </w:rPr>
        <w:t>90%以上，指标完成；五是体育活动计划完成及时率95%，指标完成；六是设备维护成本300万元，指标完成；七是体育设施利用率90%，指标完成；八是对全国青少年体育事业发展的影响力提升。</w:t>
      </w:r>
      <w:r>
        <w:rPr>
          <w:rFonts w:hint="default" w:ascii="仿宋_GB2312" w:eastAsia="仿宋_GB2312"/>
          <w:sz w:val="32"/>
        </w:rPr>
        <w:t>发现的主要问题及原因是</w:t>
      </w:r>
      <w:r>
        <w:rPr>
          <w:rFonts w:hint="eastAsia" w:ascii="仿宋_GB2312" w:eastAsia="仿宋_GB2312"/>
          <w:sz w:val="32"/>
          <w:lang w:eastAsia="zh-CN"/>
        </w:rPr>
        <w:t>项目监管还有待加强</w:t>
      </w:r>
      <w:r>
        <w:rPr>
          <w:rFonts w:hint="default" w:ascii="仿宋_GB2312" w:eastAsia="仿宋_GB2312"/>
          <w:sz w:val="32"/>
        </w:rPr>
        <w:t>。下一步改进措施：</w:t>
      </w:r>
      <w:r>
        <w:rPr>
          <w:rFonts w:hint="eastAsia" w:ascii="仿宋_GB2312" w:eastAsia="仿宋_GB2312"/>
          <w:sz w:val="32"/>
          <w:lang w:eastAsia="zh-CN"/>
        </w:rPr>
        <w:t>市级加强项目监管力度，定期对项目绩效进行评估</w:t>
      </w:r>
      <w:r>
        <w:rPr>
          <w:rFonts w:hint="default" w:ascii="仿宋_GB2312" w:eastAsia="仿宋_GB2312"/>
          <w:sz w:val="32"/>
        </w:rPr>
        <w:t>。</w:t>
      </w:r>
    </w:p>
    <w:p>
      <w:pPr>
        <w:widowControl/>
        <w:spacing w:line="560" w:lineRule="exact"/>
        <w:ind w:firstLine="640" w:firstLineChars="200"/>
        <w:rPr>
          <w:rFonts w:hint="default" w:ascii="仿宋_GB2312" w:hAnsi="宋体" w:eastAsia="仿宋_GB2312" w:cs="仿宋_GB2312"/>
          <w:sz w:val="32"/>
          <w:szCs w:val="32"/>
        </w:rPr>
      </w:pPr>
    </w:p>
    <w:p>
      <w:pPr>
        <w:pStyle w:val="2"/>
        <w:rPr>
          <w:rFonts w:hint="default" w:ascii="仿宋_GB2312" w:hAnsi="宋体" w:eastAsia="仿宋_GB2312" w:cs="仿宋_GB2312"/>
          <w:sz w:val="32"/>
          <w:szCs w:val="32"/>
        </w:rPr>
      </w:pPr>
    </w:p>
    <w:p>
      <w:pPr>
        <w:pStyle w:val="2"/>
        <w:rPr>
          <w:rFonts w:hint="default" w:ascii="仿宋_GB2312" w:hAnsi="宋体" w:eastAsia="仿宋_GB2312" w:cs="仿宋_GB2312"/>
          <w:sz w:val="32"/>
          <w:szCs w:val="32"/>
        </w:rPr>
      </w:pPr>
    </w:p>
    <w:p>
      <w:pPr>
        <w:pStyle w:val="2"/>
        <w:rPr>
          <w:rFonts w:hint="default" w:ascii="仿宋_GB2312" w:hAnsi="宋体" w:eastAsia="仿宋_GB2312" w:cs="仿宋_GB2312"/>
          <w:sz w:val="32"/>
          <w:szCs w:val="32"/>
        </w:rPr>
      </w:pPr>
    </w:p>
    <w:p>
      <w:pPr>
        <w:pStyle w:val="2"/>
        <w:rPr>
          <w:rFonts w:hint="default" w:ascii="仿宋_GB2312" w:hAnsi="宋体" w:eastAsia="仿宋_GB2312" w:cs="仿宋_GB2312"/>
          <w:sz w:val="32"/>
          <w:szCs w:val="32"/>
        </w:rPr>
      </w:pPr>
    </w:p>
    <w:p>
      <w:pPr>
        <w:pStyle w:val="2"/>
        <w:rPr>
          <w:rFonts w:hint="default" w:ascii="仿宋_GB2312" w:hAnsi="宋体" w:eastAsia="仿宋_GB2312" w:cs="仿宋_GB2312"/>
          <w:sz w:val="32"/>
          <w:szCs w:val="32"/>
        </w:rPr>
      </w:pPr>
    </w:p>
    <w:p>
      <w:pPr>
        <w:pStyle w:val="2"/>
        <w:rPr>
          <w:rFonts w:hint="default" w:ascii="仿宋_GB2312" w:hAnsi="宋体" w:eastAsia="仿宋_GB2312" w:cs="仿宋_GB2312"/>
          <w:sz w:val="32"/>
          <w:szCs w:val="32"/>
        </w:rPr>
      </w:pPr>
    </w:p>
    <w:p>
      <w:pPr>
        <w:pStyle w:val="2"/>
        <w:rPr>
          <w:rFonts w:hint="default" w:ascii="仿宋_GB2312" w:hAnsi="宋体" w:eastAsia="仿宋_GB2312" w:cs="仿宋_GB2312"/>
          <w:sz w:val="32"/>
          <w:szCs w:val="32"/>
        </w:rPr>
      </w:pPr>
    </w:p>
    <w:p>
      <w:pPr>
        <w:pStyle w:val="2"/>
        <w:rPr>
          <w:rFonts w:hint="default" w:ascii="仿宋_GB2312" w:hAnsi="宋体" w:eastAsia="仿宋_GB2312" w:cs="仿宋_GB2312"/>
          <w:sz w:val="32"/>
          <w:szCs w:val="32"/>
        </w:rPr>
      </w:pPr>
    </w:p>
    <w:p>
      <w:pPr>
        <w:widowControl/>
        <w:spacing w:line="560" w:lineRule="exact"/>
        <w:ind w:firstLine="640" w:firstLineChars="200"/>
        <w:rPr>
          <w:rFonts w:hint="default" w:ascii="仿宋_GB2312" w:hAnsi="宋体" w:eastAsia="仿宋_GB2312" w:cs="仿宋_GB2312"/>
          <w:sz w:val="32"/>
          <w:szCs w:val="32"/>
        </w:rPr>
      </w:pPr>
    </w:p>
    <w:p>
      <w:pPr>
        <w:widowControl/>
        <w:spacing w:line="560" w:lineRule="exact"/>
        <w:ind w:firstLine="640" w:firstLineChars="200"/>
        <w:rPr>
          <w:rFonts w:hint="default" w:ascii="仿宋_GB2312" w:hAnsi="宋体" w:eastAsia="仿宋_GB2312" w:cs="仿宋_GB2312"/>
          <w:sz w:val="32"/>
          <w:szCs w:val="32"/>
        </w:rPr>
      </w:pPr>
    </w:p>
    <w:p>
      <w:pPr>
        <w:widowControl/>
        <w:spacing w:line="560" w:lineRule="exact"/>
        <w:ind w:firstLine="640" w:firstLineChars="200"/>
        <w:rPr>
          <w:rFonts w:hint="default" w:ascii="仿宋_GB2312" w:hAnsi="宋体" w:eastAsia="仿宋_GB2312" w:cs="仿宋_GB2312"/>
          <w:sz w:val="32"/>
          <w:szCs w:val="32"/>
        </w:rPr>
      </w:pPr>
    </w:p>
    <w:p>
      <w:pPr>
        <w:widowControl/>
        <w:spacing w:line="560" w:lineRule="exact"/>
        <w:ind w:firstLine="640" w:firstLineChars="200"/>
        <w:rPr>
          <w:rFonts w:hint="default" w:ascii="仿宋_GB2312" w:hAnsi="宋体" w:eastAsia="仿宋_GB2312" w:cs="仿宋_GB2312"/>
          <w:sz w:val="32"/>
          <w:szCs w:val="32"/>
        </w:rPr>
      </w:pPr>
    </w:p>
    <w:p>
      <w:pPr>
        <w:widowControl/>
        <w:spacing w:line="560" w:lineRule="exact"/>
        <w:ind w:firstLine="640" w:firstLineChars="200"/>
        <w:rPr>
          <w:rFonts w:hint="default" w:ascii="仿宋_GB2312" w:hAnsi="宋体" w:eastAsia="仿宋_GB2312" w:cs="仿宋_GB2312"/>
          <w:sz w:val="32"/>
          <w:szCs w:val="32"/>
        </w:rPr>
      </w:pPr>
    </w:p>
    <w:p>
      <w:pPr>
        <w:widowControl/>
        <w:spacing w:line="560" w:lineRule="exact"/>
        <w:ind w:firstLine="640" w:firstLineChars="200"/>
        <w:rPr>
          <w:rFonts w:hint="default" w:ascii="仿宋_GB2312" w:hAnsi="宋体" w:eastAsia="仿宋_GB2312" w:cs="仿宋_GB2312"/>
          <w:sz w:val="32"/>
          <w:szCs w:val="32"/>
        </w:rPr>
      </w:pPr>
    </w:p>
    <w:p>
      <w:pPr>
        <w:widowControl/>
        <w:spacing w:line="560" w:lineRule="exact"/>
        <w:ind w:firstLine="640" w:firstLineChars="200"/>
        <w:rPr>
          <w:rFonts w:hint="default" w:ascii="仿宋_GB2312" w:hAnsi="宋体" w:eastAsia="仿宋_GB2312" w:cs="仿宋_GB2312"/>
          <w:sz w:val="32"/>
          <w:szCs w:val="32"/>
        </w:rPr>
      </w:pPr>
    </w:p>
    <w:p>
      <w:pPr>
        <w:pStyle w:val="8"/>
        <w:spacing w:line="560" w:lineRule="exact"/>
        <w:jc w:val="center"/>
        <w:rPr>
          <w:rFonts w:hint="default"/>
          <w:b/>
          <w:sz w:val="36"/>
        </w:rPr>
      </w:pPr>
    </w:p>
    <w:tbl>
      <w:tblPr>
        <w:tblStyle w:val="5"/>
        <w:tblpPr w:leftFromText="180" w:rightFromText="180" w:vertAnchor="text" w:horzAnchor="page" w:tblpX="703" w:tblpY="134"/>
        <w:tblOverlap w:val="never"/>
        <w:tblW w:w="105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
        <w:gridCol w:w="473"/>
        <w:gridCol w:w="473"/>
        <w:gridCol w:w="1186"/>
        <w:gridCol w:w="236"/>
        <w:gridCol w:w="136"/>
        <w:gridCol w:w="480"/>
        <w:gridCol w:w="464"/>
        <w:gridCol w:w="1159"/>
        <w:gridCol w:w="464"/>
        <w:gridCol w:w="21"/>
        <w:gridCol w:w="480"/>
        <w:gridCol w:w="317"/>
        <w:gridCol w:w="396"/>
        <w:gridCol w:w="73"/>
        <w:gridCol w:w="480"/>
        <w:gridCol w:w="382"/>
        <w:gridCol w:w="480"/>
        <w:gridCol w:w="354"/>
        <w:gridCol w:w="63"/>
        <w:gridCol w:w="417"/>
        <w:gridCol w:w="20"/>
        <w:gridCol w:w="502"/>
        <w:gridCol w:w="1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575" w:type="dxa"/>
            <w:gridSpan w:val="24"/>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bCs/>
                <w:color w:val="000000"/>
                <w:kern w:val="0"/>
                <w:sz w:val="32"/>
                <w:szCs w:val="32"/>
                <w:lang w:val="en-US" w:eastAsia="zh-CN"/>
              </w:rPr>
              <w:t>本级整体绩效自评表</w:t>
            </w:r>
            <w:r>
              <w:rPr>
                <w:rFonts w:hint="eastAsia" w:ascii="宋体" w:hAnsi="宋体" w:eastAsia="宋体" w:cs="宋体"/>
                <w:b/>
                <w:i w:val="0"/>
                <w:color w:val="000000"/>
                <w:kern w:val="0"/>
                <w:sz w:val="16"/>
                <w:szCs w:val="16"/>
                <w:u w:val="none"/>
                <w:lang w:val="en-US" w:eastAsia="zh-CN" w:bidi="ar"/>
              </w:rPr>
              <w:br w:type="textWrapping"/>
            </w:r>
            <w:r>
              <w:rPr>
                <w:rStyle w:val="12"/>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575" w:type="dxa"/>
            <w:gridSpan w:val="24"/>
            <w:vMerge w:val="continue"/>
            <w:tcBorders>
              <w:top w:val="nil"/>
              <w:left w:val="nil"/>
              <w:bottom w:val="nil"/>
              <w:right w:val="nil"/>
            </w:tcBorders>
            <w:shd w:val="clear" w:color="auto" w:fill="FFFFFF"/>
            <w:vAlign w:val="center"/>
          </w:tcPr>
          <w:p>
            <w:pPr>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575" w:type="dxa"/>
            <w:gridSpan w:val="24"/>
            <w:vMerge w:val="continue"/>
            <w:tcBorders>
              <w:top w:val="nil"/>
              <w:left w:val="nil"/>
              <w:bottom w:val="nil"/>
              <w:right w:val="nil"/>
            </w:tcBorders>
            <w:shd w:val="clear" w:color="auto" w:fill="FFFFFF"/>
            <w:vAlign w:val="center"/>
          </w:tcPr>
          <w:p>
            <w:pPr>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54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部门（单位）名称</w:t>
            </w:r>
          </w:p>
        </w:tc>
        <w:tc>
          <w:tcPr>
            <w:tcW w:w="8026" w:type="dxa"/>
            <w:gridSpan w:val="2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541001沈阳市体育局本级-210100000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54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部门年初预算收入金额</w:t>
            </w:r>
          </w:p>
        </w:tc>
        <w:tc>
          <w:tcPr>
            <w:tcW w:w="8026" w:type="dxa"/>
            <w:gridSpan w:val="2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5371.87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54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部门年初预算支出金额</w:t>
            </w:r>
          </w:p>
        </w:tc>
        <w:tc>
          <w:tcPr>
            <w:tcW w:w="8026" w:type="dxa"/>
            <w:gridSpan w:val="2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5371.87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年度主要任务</w:t>
            </w:r>
          </w:p>
        </w:tc>
        <w:tc>
          <w:tcPr>
            <w:tcW w:w="25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工作名称</w:t>
            </w:r>
          </w:p>
        </w:tc>
        <w:tc>
          <w:tcPr>
            <w:tcW w:w="258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对应项目</w:t>
            </w:r>
          </w:p>
        </w:tc>
        <w:tc>
          <w:tcPr>
            <w:tcW w:w="126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项目下达金额</w:t>
            </w:r>
          </w:p>
        </w:tc>
        <w:tc>
          <w:tcPr>
            <w:tcW w:w="862"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项目执行金额</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项目执行率</w:t>
            </w:r>
          </w:p>
        </w:tc>
        <w:tc>
          <w:tcPr>
            <w:tcW w:w="5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分值</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1"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25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制定了《2019-2021沈阳国际马拉松赛事策划及执行招标方案》，并按照执行。</w:t>
            </w:r>
          </w:p>
        </w:tc>
        <w:tc>
          <w:tcPr>
            <w:tcW w:w="258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沈阳马拉松</w:t>
            </w:r>
          </w:p>
        </w:tc>
        <w:tc>
          <w:tcPr>
            <w:tcW w:w="126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62"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已完成马拉松赛事采购招标工作。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25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配备和维修健身器材。</w:t>
            </w:r>
          </w:p>
        </w:tc>
        <w:tc>
          <w:tcPr>
            <w:tcW w:w="258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购置群众体育健身设施</w:t>
            </w:r>
          </w:p>
        </w:tc>
        <w:tc>
          <w:tcPr>
            <w:tcW w:w="126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455.66</w:t>
            </w:r>
          </w:p>
        </w:tc>
        <w:tc>
          <w:tcPr>
            <w:tcW w:w="862"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455.66</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25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根据国民体质监测标准和质量要求，完成3000人的体质监测。</w:t>
            </w:r>
          </w:p>
        </w:tc>
        <w:tc>
          <w:tcPr>
            <w:tcW w:w="258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2021年国民体质监测专项</w:t>
            </w:r>
          </w:p>
        </w:tc>
        <w:tc>
          <w:tcPr>
            <w:tcW w:w="126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862"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25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开闭幕式、赛事项目及赛事安全、效果评估费及制作赛事奖品、奖牌、证书等。</w:t>
            </w:r>
          </w:p>
        </w:tc>
        <w:tc>
          <w:tcPr>
            <w:tcW w:w="258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沈阳市民运动会</w:t>
            </w:r>
          </w:p>
        </w:tc>
        <w:tc>
          <w:tcPr>
            <w:tcW w:w="126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111.5</w:t>
            </w:r>
          </w:p>
        </w:tc>
        <w:tc>
          <w:tcPr>
            <w:tcW w:w="862"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111.5</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25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23名运动员伤残补助费。</w:t>
            </w:r>
          </w:p>
        </w:tc>
        <w:tc>
          <w:tcPr>
            <w:tcW w:w="258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运动员伤残补助费、60年代精简职工生活费及老干部遗属补助费</w:t>
            </w:r>
          </w:p>
        </w:tc>
        <w:tc>
          <w:tcPr>
            <w:tcW w:w="126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862"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25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推进冰雪旅游、冰雪运动、冰雪文化、冰雪装备等加快冰雪运动的发展。</w:t>
            </w:r>
          </w:p>
        </w:tc>
        <w:tc>
          <w:tcPr>
            <w:tcW w:w="258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承办全国青少年滑雪锦标赛</w:t>
            </w:r>
          </w:p>
        </w:tc>
        <w:tc>
          <w:tcPr>
            <w:tcW w:w="126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62"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25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为培育有影响力的品牌赛事，扩大沈阳城市影响力。</w:t>
            </w:r>
          </w:p>
        </w:tc>
        <w:tc>
          <w:tcPr>
            <w:tcW w:w="258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承办全国青年乒乓球锦标赛经费</w:t>
            </w:r>
          </w:p>
        </w:tc>
        <w:tc>
          <w:tcPr>
            <w:tcW w:w="126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75.44</w:t>
            </w:r>
          </w:p>
        </w:tc>
        <w:tc>
          <w:tcPr>
            <w:tcW w:w="862"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75.44</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完成招标采购工作，由于疫情推迟到2022年执行。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25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锻炼各级运动队，不断发现发展优秀运动员，组建我市的各项目、各年龄段的比赛队伍。</w:t>
            </w:r>
          </w:p>
        </w:tc>
        <w:tc>
          <w:tcPr>
            <w:tcW w:w="258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运动员输送费及后备人才基地建设经费</w:t>
            </w:r>
          </w:p>
        </w:tc>
        <w:tc>
          <w:tcPr>
            <w:tcW w:w="126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94.3</w:t>
            </w:r>
          </w:p>
        </w:tc>
        <w:tc>
          <w:tcPr>
            <w:tcW w:w="862"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94.3</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25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市政府《关于保护利用“一河两岸”生态人文资源全力打造“北方运动高地”的行动方案》</w:t>
            </w:r>
          </w:p>
        </w:tc>
        <w:tc>
          <w:tcPr>
            <w:tcW w:w="258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新增重点品牌项目</w:t>
            </w:r>
          </w:p>
        </w:tc>
        <w:tc>
          <w:tcPr>
            <w:tcW w:w="126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169.6</w:t>
            </w:r>
          </w:p>
        </w:tc>
        <w:tc>
          <w:tcPr>
            <w:tcW w:w="862"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169.6</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完成部分项目执行工作。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25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沈阳市促进全民健身和体育消费推动体育产业高质量发展若干措施</w:t>
            </w:r>
          </w:p>
        </w:tc>
        <w:tc>
          <w:tcPr>
            <w:tcW w:w="258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惠民体育电子消费券</w:t>
            </w:r>
          </w:p>
        </w:tc>
        <w:tc>
          <w:tcPr>
            <w:tcW w:w="126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213.25</w:t>
            </w:r>
          </w:p>
        </w:tc>
        <w:tc>
          <w:tcPr>
            <w:tcW w:w="862"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213.25</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完成发放工作。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25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更换机关通信机要车。</w:t>
            </w:r>
          </w:p>
        </w:tc>
        <w:tc>
          <w:tcPr>
            <w:tcW w:w="258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公务用车更新购置</w:t>
            </w:r>
          </w:p>
        </w:tc>
        <w:tc>
          <w:tcPr>
            <w:tcW w:w="126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11.95</w:t>
            </w:r>
          </w:p>
        </w:tc>
        <w:tc>
          <w:tcPr>
            <w:tcW w:w="862"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11.95</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完成购置工作。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25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保障机关行政运行。</w:t>
            </w:r>
          </w:p>
        </w:tc>
        <w:tc>
          <w:tcPr>
            <w:tcW w:w="258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公用经费项目</w:t>
            </w:r>
          </w:p>
        </w:tc>
        <w:tc>
          <w:tcPr>
            <w:tcW w:w="126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176.512419</w:t>
            </w:r>
          </w:p>
        </w:tc>
        <w:tc>
          <w:tcPr>
            <w:tcW w:w="862"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176.51</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25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举办及参加省级、市级群众体育活动。</w:t>
            </w:r>
          </w:p>
        </w:tc>
        <w:tc>
          <w:tcPr>
            <w:tcW w:w="258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群众体育赛事系列活动</w:t>
            </w:r>
          </w:p>
        </w:tc>
        <w:tc>
          <w:tcPr>
            <w:tcW w:w="126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189.6</w:t>
            </w:r>
          </w:p>
        </w:tc>
        <w:tc>
          <w:tcPr>
            <w:tcW w:w="862"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189.6</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25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保障人员基本工资及保险。</w:t>
            </w:r>
          </w:p>
        </w:tc>
        <w:tc>
          <w:tcPr>
            <w:tcW w:w="258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人员类项目</w:t>
            </w:r>
          </w:p>
        </w:tc>
        <w:tc>
          <w:tcPr>
            <w:tcW w:w="126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1740.655541</w:t>
            </w:r>
          </w:p>
        </w:tc>
        <w:tc>
          <w:tcPr>
            <w:tcW w:w="862"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1740.65</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1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年度目标</w:t>
            </w:r>
          </w:p>
        </w:tc>
        <w:tc>
          <w:tcPr>
            <w:tcW w:w="5889" w:type="dxa"/>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年初总体目标</w:t>
            </w:r>
          </w:p>
        </w:tc>
        <w:tc>
          <w:tcPr>
            <w:tcW w:w="4269"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889" w:type="dxa"/>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提升赛事体验，扩大沈阳国际影响力，确保沈马的运营水平和赛事规格迈上新台阶。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逐步满足市民体育健身需求，改善公共体育设施条件、提升体育运动器材品质.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圆满完成承办赛事举办工作，宣传气氛热烈，在市民引起共鸣，促进全民运动。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圆满完成各项活动，提高市民身体素质，提升市民健身热情。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深度培育自主IP品牌赛事。</w:t>
            </w:r>
          </w:p>
        </w:tc>
        <w:tc>
          <w:tcPr>
            <w:tcW w:w="4269"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7"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绩效指标</w:t>
            </w:r>
          </w:p>
        </w:tc>
        <w:tc>
          <w:tcPr>
            <w:tcW w:w="473"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一级指标</w:t>
            </w:r>
          </w:p>
        </w:tc>
        <w:tc>
          <w:tcPr>
            <w:tcW w:w="473"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二级指标</w:t>
            </w:r>
          </w:p>
        </w:tc>
        <w:tc>
          <w:tcPr>
            <w:tcW w:w="1186"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三级指标</w:t>
            </w:r>
          </w:p>
        </w:tc>
        <w:tc>
          <w:tcPr>
            <w:tcW w:w="236"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运算符号</w:t>
            </w:r>
          </w:p>
        </w:tc>
        <w:tc>
          <w:tcPr>
            <w:tcW w:w="616" w:type="dxa"/>
            <w:gridSpan w:val="2"/>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指标值</w:t>
            </w:r>
          </w:p>
        </w:tc>
        <w:tc>
          <w:tcPr>
            <w:tcW w:w="464"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度量单位</w:t>
            </w:r>
          </w:p>
        </w:tc>
        <w:tc>
          <w:tcPr>
            <w:tcW w:w="1159"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全年完成值</w:t>
            </w:r>
          </w:p>
        </w:tc>
        <w:tc>
          <w:tcPr>
            <w:tcW w:w="464"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完成程度</w:t>
            </w:r>
          </w:p>
        </w:tc>
        <w:tc>
          <w:tcPr>
            <w:tcW w:w="501" w:type="dxa"/>
            <w:gridSpan w:val="2"/>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分值</w:t>
            </w:r>
          </w:p>
        </w:tc>
        <w:tc>
          <w:tcPr>
            <w:tcW w:w="713" w:type="dxa"/>
            <w:gridSpan w:val="2"/>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w:t>
            </w:r>
          </w:p>
        </w:tc>
        <w:tc>
          <w:tcPr>
            <w:tcW w:w="2249" w:type="dxa"/>
            <w:gridSpan w:val="7"/>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偏差原因分析</w:t>
            </w:r>
          </w:p>
        </w:tc>
        <w:tc>
          <w:tcPr>
            <w:tcW w:w="1624"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17"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73"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73"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186"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236"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616" w:type="dxa"/>
            <w:gridSpan w:val="2"/>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6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159"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64"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01" w:type="dxa"/>
            <w:gridSpan w:val="2"/>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713" w:type="dxa"/>
            <w:gridSpan w:val="2"/>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经费保障原因分析</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制度保障原因分析</w:t>
            </w: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硬件条件保障原因分析</w:t>
            </w: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其他原因分析</w:t>
            </w:r>
          </w:p>
        </w:tc>
        <w:tc>
          <w:tcPr>
            <w:tcW w:w="162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417"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履职效能</w:t>
            </w:r>
          </w:p>
        </w:tc>
        <w:tc>
          <w:tcPr>
            <w:tcW w:w="4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重点工作履行情况</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年度重点工作完成情况</w:t>
            </w:r>
          </w:p>
        </w:tc>
        <w:tc>
          <w:tcPr>
            <w:tcW w:w="2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推动产业</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全部或基本达成预期指标100%-80%（含）</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417"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整体工作完成情况</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年度部门整体工作完成情况</w:t>
            </w:r>
          </w:p>
        </w:tc>
        <w:tc>
          <w:tcPr>
            <w:tcW w:w="2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体育名城</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全部或基本达成预期指标100%-80%（含）</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417"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基础管理</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基础制度情况</w:t>
            </w:r>
          </w:p>
        </w:tc>
        <w:tc>
          <w:tcPr>
            <w:tcW w:w="2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基础制度</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全部或基本达成预期指标100%-80%（含）</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417"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w:t>
            </w:r>
          </w:p>
        </w:tc>
        <w:tc>
          <w:tcPr>
            <w:tcW w:w="4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预算执行效率</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项目预算执行情况</w:t>
            </w:r>
          </w:p>
        </w:tc>
        <w:tc>
          <w:tcPr>
            <w:tcW w:w="2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执行计划</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全部或基本达成预期指标100%-80%（含）</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417"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管理效率</w:t>
            </w:r>
          </w:p>
        </w:tc>
        <w:tc>
          <w:tcPr>
            <w:tcW w:w="4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预算编制管理</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部门预算编制合法合规</w:t>
            </w:r>
          </w:p>
        </w:tc>
        <w:tc>
          <w:tcPr>
            <w:tcW w:w="2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依法依规</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全部或基本达成预期指标100%-80%（含）</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417"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预算监督管理</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部门预决算信息及时公开</w:t>
            </w:r>
          </w:p>
        </w:tc>
        <w:tc>
          <w:tcPr>
            <w:tcW w:w="2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信息公开</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全部或基本达成预期指标100%-80%（含）</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417"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预算收支管理</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部门预算收支管理规范</w:t>
            </w:r>
          </w:p>
        </w:tc>
        <w:tc>
          <w:tcPr>
            <w:tcW w:w="2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管理规范</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全部或基本达成预期指标100%-80%（含）</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417"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财务管理</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按规范程序管理财务</w:t>
            </w:r>
          </w:p>
        </w:tc>
        <w:tc>
          <w:tcPr>
            <w:tcW w:w="2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程序严格</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全部或基本达成预期指标100%-80%（含）</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417"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资产管理</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按规范程序管理资产</w:t>
            </w:r>
          </w:p>
        </w:tc>
        <w:tc>
          <w:tcPr>
            <w:tcW w:w="2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规范管理</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全部或基本达成预期指标100%-80%（含）</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417"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业务管理</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按规范程序处理业务</w:t>
            </w:r>
          </w:p>
        </w:tc>
        <w:tc>
          <w:tcPr>
            <w:tcW w:w="2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规定程序</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全部或基本达成预期指标100%-80%（含）</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17"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运行成本</w:t>
            </w:r>
          </w:p>
        </w:tc>
        <w:tc>
          <w:tcPr>
            <w:tcW w:w="4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成本控制成效</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在职人员控制率</w:t>
            </w:r>
          </w:p>
        </w:tc>
        <w:tc>
          <w:tcPr>
            <w:tcW w:w="2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&lt;=</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7"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社会效应</w:t>
            </w:r>
          </w:p>
        </w:tc>
        <w:tc>
          <w:tcPr>
            <w:tcW w:w="4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开展大型全民健身活动次数</w:t>
            </w:r>
          </w:p>
        </w:tc>
        <w:tc>
          <w:tcPr>
            <w:tcW w:w="2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17"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全民健身工程数量</w:t>
            </w:r>
          </w:p>
        </w:tc>
        <w:tc>
          <w:tcPr>
            <w:tcW w:w="2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17"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国民体质监测人次</w:t>
            </w:r>
          </w:p>
        </w:tc>
        <w:tc>
          <w:tcPr>
            <w:tcW w:w="2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417"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各类群众性体育活动与竞赛参与人数达标率</w:t>
            </w:r>
          </w:p>
        </w:tc>
        <w:tc>
          <w:tcPr>
            <w:tcW w:w="2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17"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人均健身场地面积</w:t>
            </w:r>
          </w:p>
        </w:tc>
        <w:tc>
          <w:tcPr>
            <w:tcW w:w="2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平方米</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17"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举办群众体育活动数</w:t>
            </w:r>
          </w:p>
        </w:tc>
        <w:tc>
          <w:tcPr>
            <w:tcW w:w="2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17"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活动参与者满意度</w:t>
            </w:r>
          </w:p>
        </w:tc>
        <w:tc>
          <w:tcPr>
            <w:tcW w:w="2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7"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全民健身参与人员满意度</w:t>
            </w:r>
          </w:p>
        </w:tc>
        <w:tc>
          <w:tcPr>
            <w:tcW w:w="2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417"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可持续性</w:t>
            </w:r>
          </w:p>
        </w:tc>
        <w:tc>
          <w:tcPr>
            <w:tcW w:w="4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体制机制改革</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建立绩效激励机制</w:t>
            </w:r>
          </w:p>
        </w:tc>
        <w:tc>
          <w:tcPr>
            <w:tcW w:w="2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加强执行</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全部或基本达成预期指标100%-80%（含）</w:t>
            </w:r>
          </w:p>
        </w:tc>
        <w:tc>
          <w:tcPr>
            <w:tcW w:w="4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5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06" w:type="dxa"/>
            <w:gridSpan w:val="1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总评价得分</w:t>
            </w:r>
          </w:p>
        </w:tc>
        <w:tc>
          <w:tcPr>
            <w:tcW w:w="4269" w:type="dxa"/>
            <w:gridSpan w:val="11"/>
            <w:tcBorders>
              <w:top w:val="single" w:color="000000" w:sz="4" w:space="0"/>
              <w:left w:val="nil"/>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94.4</w:t>
            </w:r>
          </w:p>
        </w:tc>
      </w:tr>
    </w:tbl>
    <w:p>
      <w:pPr>
        <w:pStyle w:val="8"/>
        <w:spacing w:line="560" w:lineRule="exact"/>
        <w:jc w:val="both"/>
        <w:rPr>
          <w:rFonts w:hint="default"/>
          <w:b/>
          <w:sz w:val="36"/>
        </w:rPr>
      </w:pPr>
    </w:p>
    <w:tbl>
      <w:tblPr>
        <w:tblStyle w:val="5"/>
        <w:tblpPr w:leftFromText="180" w:rightFromText="180" w:vertAnchor="text" w:horzAnchor="page" w:tblpX="1362" w:tblpY="617"/>
        <w:tblOverlap w:val="never"/>
        <w:tblW w:w="98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
        <w:gridCol w:w="444"/>
        <w:gridCol w:w="730"/>
        <w:gridCol w:w="988"/>
        <w:gridCol w:w="560"/>
        <w:gridCol w:w="538"/>
        <w:gridCol w:w="560"/>
        <w:gridCol w:w="1016"/>
        <w:gridCol w:w="616"/>
        <w:gridCol w:w="419"/>
        <w:gridCol w:w="419"/>
        <w:gridCol w:w="417"/>
        <w:gridCol w:w="417"/>
        <w:gridCol w:w="417"/>
        <w:gridCol w:w="417"/>
        <w:gridCol w:w="417"/>
        <w:gridCol w:w="417"/>
        <w:gridCol w:w="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826" w:type="dxa"/>
            <w:gridSpan w:val="1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预算项目(政策)绩效目标自评表</w:t>
            </w:r>
            <w:r>
              <w:rPr>
                <w:rFonts w:hint="eastAsia" w:ascii="宋体" w:hAnsi="宋体" w:eastAsia="宋体" w:cs="宋体"/>
                <w:b/>
                <w:i w:val="0"/>
                <w:color w:val="000000"/>
                <w:kern w:val="0"/>
                <w:sz w:val="32"/>
                <w:szCs w:val="32"/>
                <w:u w:val="none"/>
                <w:lang w:val="en-US" w:eastAsia="zh-CN" w:bidi="ar"/>
              </w:rPr>
              <w:br w:type="textWrapping"/>
            </w:r>
            <w:r>
              <w:rPr>
                <w:rStyle w:val="13"/>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项目(政策)名称</w:t>
            </w:r>
          </w:p>
        </w:tc>
        <w:tc>
          <w:tcPr>
            <w:tcW w:w="8030"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和平区足球公园建设补助资金专项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主管部门</w:t>
            </w:r>
          </w:p>
        </w:tc>
        <w:tc>
          <w:tcPr>
            <w:tcW w:w="8030"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沈阳市体育局-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实施单位</w:t>
            </w:r>
          </w:p>
        </w:tc>
        <w:tc>
          <w:tcPr>
            <w:tcW w:w="8030"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沈阳市体育局本级-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项目预算金额（万元）</w:t>
            </w:r>
          </w:p>
        </w:tc>
        <w:tc>
          <w:tcPr>
            <w:tcW w:w="26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全年执行数</w:t>
            </w:r>
          </w:p>
        </w:tc>
        <w:tc>
          <w:tcPr>
            <w:tcW w:w="192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年度总体目标</w:t>
            </w:r>
          </w:p>
        </w:tc>
        <w:tc>
          <w:tcPr>
            <w:tcW w:w="6421"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年初设定目标</w:t>
            </w:r>
          </w:p>
        </w:tc>
        <w:tc>
          <w:tcPr>
            <w:tcW w:w="3045"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6421"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扩大对外交流，推动青少年足球运动发展。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营造足球文化氛围，打造足球城市品牌。</w:t>
            </w:r>
          </w:p>
        </w:tc>
        <w:tc>
          <w:tcPr>
            <w:tcW w:w="3045"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绩效指标</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一级指标</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二级指标</w:t>
            </w:r>
          </w:p>
        </w:tc>
        <w:tc>
          <w:tcPr>
            <w:tcW w:w="14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三级指标</w:t>
            </w: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年度目标值</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完成值</w:t>
            </w:r>
          </w:p>
        </w:tc>
        <w:tc>
          <w:tcPr>
            <w:tcW w:w="6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完成程度</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分值</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未完成原因分析</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运算</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符号</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内容</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度量</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单位</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经费保障</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制度保障</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人员保障</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硬件条件保障</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原因说明</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足篮排项目集训竞赛参与人员满意度</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支持普及推广青少年足球的市县</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体育场馆使用率</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体育设施完好率</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体育活动计划完成及时率</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设备维护成本</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体育设施利用率</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3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对全国青少年体育事业发展的影响力</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足球发展</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全部或基本达成预期指标100%-80%（含）</w:t>
            </w:r>
          </w:p>
        </w:tc>
        <w:tc>
          <w:tcPr>
            <w:tcW w:w="6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7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指标自评得分小计</w:t>
            </w:r>
          </w:p>
        </w:tc>
        <w:tc>
          <w:tcPr>
            <w:tcW w:w="26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91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预算执行率得分</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减分项</w:t>
            </w:r>
          </w:p>
        </w:tc>
        <w:tc>
          <w:tcPr>
            <w:tcW w:w="3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绩效自评总得分</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bl>
    <w:p>
      <w:pPr>
        <w:pStyle w:val="8"/>
        <w:spacing w:line="560" w:lineRule="exact"/>
        <w:jc w:val="center"/>
        <w:rPr>
          <w:rFonts w:hint="default"/>
          <w:b/>
          <w:sz w:val="36"/>
        </w:rPr>
      </w:pPr>
    </w:p>
    <w:p>
      <w:pPr>
        <w:pStyle w:val="8"/>
        <w:spacing w:line="560" w:lineRule="exact"/>
        <w:rPr>
          <w:rFonts w:hint="default"/>
          <w:b/>
          <w:sz w:val="36"/>
        </w:rPr>
      </w:pPr>
    </w:p>
    <w:p>
      <w:pPr>
        <w:pStyle w:val="8"/>
        <w:spacing w:line="560" w:lineRule="exact"/>
        <w:jc w:val="center"/>
        <w:rPr>
          <w:rFonts w:hint="default"/>
          <w:b/>
          <w:sz w:val="36"/>
        </w:rPr>
      </w:pPr>
    </w:p>
    <w:p>
      <w:pPr>
        <w:pStyle w:val="8"/>
        <w:spacing w:line="560" w:lineRule="exact"/>
        <w:jc w:val="center"/>
        <w:rPr>
          <w:rFonts w:hint="default"/>
          <w:b/>
          <w:sz w:val="36"/>
        </w:rPr>
      </w:pPr>
    </w:p>
    <w:p>
      <w:pPr>
        <w:pStyle w:val="8"/>
        <w:spacing w:line="560" w:lineRule="exact"/>
        <w:jc w:val="center"/>
        <w:rPr>
          <w:rFonts w:hint="default"/>
          <w:b/>
          <w:sz w:val="36"/>
        </w:rPr>
      </w:pPr>
    </w:p>
    <w:p>
      <w:pPr>
        <w:pStyle w:val="8"/>
        <w:spacing w:line="560" w:lineRule="exact"/>
        <w:jc w:val="center"/>
        <w:rPr>
          <w:rFonts w:hint="default"/>
          <w:b/>
          <w:sz w:val="36"/>
        </w:rPr>
      </w:pPr>
    </w:p>
    <w:p>
      <w:pPr>
        <w:pStyle w:val="8"/>
        <w:spacing w:line="560" w:lineRule="exact"/>
        <w:jc w:val="center"/>
        <w:rPr>
          <w:rFonts w:hint="default"/>
          <w:b/>
          <w:sz w:val="36"/>
        </w:rPr>
      </w:pPr>
    </w:p>
    <w:p>
      <w:pPr>
        <w:pStyle w:val="8"/>
        <w:spacing w:line="560" w:lineRule="exact"/>
        <w:jc w:val="center"/>
        <w:rPr>
          <w:rFonts w:hint="default"/>
          <w:b/>
          <w:sz w:val="36"/>
        </w:rPr>
      </w:pPr>
    </w:p>
    <w:p>
      <w:pPr>
        <w:pStyle w:val="8"/>
        <w:spacing w:line="560" w:lineRule="exact"/>
        <w:jc w:val="center"/>
        <w:rPr>
          <w:rFonts w:hint="default"/>
          <w:b/>
          <w:sz w:val="36"/>
        </w:rPr>
      </w:pPr>
    </w:p>
    <w:p>
      <w:pPr>
        <w:pStyle w:val="8"/>
        <w:spacing w:line="560" w:lineRule="exact"/>
        <w:jc w:val="center"/>
        <w:rPr>
          <w:rFonts w:hint="default"/>
          <w:b/>
          <w:sz w:val="36"/>
        </w:rPr>
      </w:pPr>
    </w:p>
    <w:p>
      <w:pPr>
        <w:pStyle w:val="8"/>
        <w:spacing w:line="560" w:lineRule="exact"/>
        <w:jc w:val="center"/>
        <w:rPr>
          <w:rFonts w:hint="default"/>
          <w:b/>
          <w:sz w:val="36"/>
        </w:rPr>
      </w:pPr>
    </w:p>
    <w:p>
      <w:pPr>
        <w:pStyle w:val="8"/>
        <w:spacing w:line="560" w:lineRule="exact"/>
        <w:jc w:val="center"/>
        <w:rPr>
          <w:rFonts w:hint="default"/>
          <w:b/>
          <w:sz w:val="36"/>
        </w:rPr>
      </w:pPr>
    </w:p>
    <w:p>
      <w:pPr>
        <w:pStyle w:val="8"/>
        <w:spacing w:line="560" w:lineRule="exact"/>
        <w:jc w:val="center"/>
        <w:rPr>
          <w:rFonts w:hint="default"/>
          <w:b/>
          <w:sz w:val="36"/>
        </w:rPr>
      </w:pPr>
    </w:p>
    <w:p>
      <w:pPr>
        <w:pStyle w:val="8"/>
        <w:spacing w:line="560" w:lineRule="exact"/>
        <w:jc w:val="center"/>
        <w:rPr>
          <w:rFonts w:hint="default"/>
          <w:b/>
          <w:sz w:val="36"/>
        </w:rPr>
      </w:pPr>
    </w:p>
    <w:p>
      <w:pPr>
        <w:pStyle w:val="8"/>
        <w:spacing w:line="560" w:lineRule="exact"/>
        <w:jc w:val="center"/>
        <w:rPr>
          <w:rFonts w:hint="default"/>
          <w:b/>
          <w:sz w:val="36"/>
        </w:rPr>
      </w:pPr>
    </w:p>
    <w:p>
      <w:pPr>
        <w:pStyle w:val="11"/>
        <w:autoSpaceDN w:val="0"/>
        <w:spacing w:line="560" w:lineRule="exact"/>
        <w:rPr>
          <w:b/>
          <w:bCs/>
          <w:sz w:val="36"/>
          <w:szCs w:val="36"/>
        </w:rPr>
      </w:pPr>
      <w:r>
        <w:rPr>
          <w:rFonts w:hint="eastAsia"/>
          <w:b/>
          <w:bCs/>
          <w:sz w:val="36"/>
          <w:szCs w:val="36"/>
        </w:rPr>
        <w:t>第三部分 名词解释</w:t>
      </w:r>
    </w:p>
    <w:p>
      <w:pPr>
        <w:pStyle w:val="8"/>
        <w:spacing w:line="560" w:lineRule="exact"/>
        <w:ind w:firstLine="627"/>
        <w:rPr>
          <w:rFonts w:hint="default" w:ascii="仿宋_GB2312" w:eastAsia="仿宋_GB2312"/>
          <w:b/>
          <w:sz w:val="32"/>
        </w:rPr>
      </w:pPr>
      <w:r>
        <w:rPr>
          <w:rFonts w:ascii="仿宋_GB2312" w:eastAsia="仿宋_GB2312"/>
          <w:b/>
          <w:sz w:val="32"/>
        </w:rPr>
        <w:t>1.财政拨款收入：</w:t>
      </w:r>
      <w:r>
        <w:rPr>
          <w:rFonts w:ascii="仿宋_GB2312" w:eastAsia="仿宋_GB2312"/>
          <w:sz w:val="32"/>
        </w:rPr>
        <w:t>指单位从同级财政部门取得的财政预算资金。</w:t>
      </w:r>
    </w:p>
    <w:p>
      <w:pPr>
        <w:pStyle w:val="8"/>
        <w:spacing w:line="560" w:lineRule="exact"/>
        <w:ind w:firstLine="640"/>
        <w:rPr>
          <w:rFonts w:hint="default" w:ascii="仿宋_GB2312" w:eastAsia="仿宋_GB2312"/>
          <w:sz w:val="32"/>
        </w:rPr>
      </w:pPr>
      <w:r>
        <w:rPr>
          <w:rFonts w:ascii="仿宋_GB2312" w:eastAsia="仿宋_GB2312"/>
          <w:b/>
          <w:sz w:val="32"/>
        </w:rPr>
        <w:t>2.上级补助收入：</w:t>
      </w:r>
      <w:r>
        <w:rPr>
          <w:rFonts w:ascii="仿宋_GB2312" w:eastAsia="仿宋_GB2312"/>
          <w:sz w:val="32"/>
        </w:rPr>
        <w:t>指单位从主管部门和上级单位取得的非财政性补助收入。</w:t>
      </w:r>
    </w:p>
    <w:p>
      <w:pPr>
        <w:pStyle w:val="8"/>
        <w:spacing w:line="560" w:lineRule="exact"/>
        <w:ind w:firstLine="640"/>
        <w:rPr>
          <w:rFonts w:hint="default" w:ascii="仿宋_GB2312" w:eastAsia="仿宋_GB2312"/>
          <w:sz w:val="32"/>
        </w:rPr>
      </w:pPr>
      <w:r>
        <w:rPr>
          <w:rFonts w:ascii="仿宋_GB2312" w:eastAsia="仿宋_GB2312"/>
          <w:b/>
          <w:sz w:val="32"/>
        </w:rPr>
        <w:t>3.事业收入：</w:t>
      </w:r>
      <w:r>
        <w:rPr>
          <w:rFonts w:ascii="仿宋_GB2312" w:eastAsia="仿宋_GB2312"/>
          <w:sz w:val="32"/>
        </w:rPr>
        <w:t>指事业单位开展专业业务活动及辅助活动所取得的收入。</w:t>
      </w:r>
    </w:p>
    <w:p>
      <w:pPr>
        <w:pStyle w:val="8"/>
        <w:spacing w:line="560" w:lineRule="exact"/>
        <w:ind w:firstLine="640"/>
        <w:rPr>
          <w:rFonts w:hint="default" w:ascii="仿宋_GB2312" w:eastAsia="仿宋_GB2312"/>
          <w:sz w:val="32"/>
        </w:rPr>
      </w:pPr>
      <w:r>
        <w:rPr>
          <w:rFonts w:ascii="仿宋_GB2312" w:eastAsia="仿宋_GB2312"/>
          <w:b/>
          <w:sz w:val="32"/>
        </w:rPr>
        <w:t>4.经营收入：</w:t>
      </w:r>
      <w:r>
        <w:rPr>
          <w:rFonts w:ascii="仿宋_GB2312" w:eastAsia="仿宋_GB2312"/>
          <w:sz w:val="32"/>
        </w:rPr>
        <w:t>指事业单位在专业业务活动及辅助活动之外开展非独立核算经营活动取得的收入。</w:t>
      </w:r>
    </w:p>
    <w:p>
      <w:pPr>
        <w:pStyle w:val="8"/>
        <w:spacing w:line="560" w:lineRule="exact"/>
        <w:ind w:firstLine="640"/>
        <w:rPr>
          <w:rFonts w:hint="default" w:ascii="仿宋_GB2312" w:eastAsia="仿宋_GB2312"/>
          <w:sz w:val="32"/>
        </w:rPr>
      </w:pPr>
      <w:r>
        <w:rPr>
          <w:rFonts w:ascii="仿宋_GB2312" w:eastAsia="仿宋_GB2312"/>
          <w:b/>
          <w:sz w:val="32"/>
        </w:rPr>
        <w:t>5.附属单位上缴收入：</w:t>
      </w:r>
      <w:r>
        <w:rPr>
          <w:rFonts w:ascii="仿宋_GB2312" w:eastAsia="仿宋_GB2312"/>
          <w:sz w:val="32"/>
        </w:rPr>
        <w:t>指单位附属的独立核算单位按照规定上缴的收入。</w:t>
      </w:r>
    </w:p>
    <w:p>
      <w:pPr>
        <w:pStyle w:val="8"/>
        <w:spacing w:line="560" w:lineRule="exact"/>
        <w:ind w:firstLine="640"/>
        <w:rPr>
          <w:rFonts w:hint="default" w:ascii="仿宋_GB2312" w:eastAsia="仿宋_GB2312"/>
          <w:sz w:val="32"/>
        </w:rPr>
      </w:pPr>
      <w:r>
        <w:rPr>
          <w:rFonts w:ascii="仿宋_GB2312" w:eastAsia="仿宋_GB2312"/>
          <w:b/>
          <w:sz w:val="32"/>
        </w:rPr>
        <w:t>6.其他收入：</w:t>
      </w:r>
      <w:r>
        <w:rPr>
          <w:rFonts w:ascii="仿宋_GB2312" w:eastAsia="仿宋_GB2312"/>
          <w:sz w:val="32"/>
        </w:rPr>
        <w:t>指除上述“财政拨款收入”、</w:t>
      </w:r>
      <w:r>
        <w:rPr>
          <w:rFonts w:ascii="仿宋_GB2312" w:eastAsia="仿宋_GB2312"/>
          <w:b/>
          <w:sz w:val="32"/>
        </w:rPr>
        <w:t xml:space="preserve"> </w:t>
      </w:r>
      <w:r>
        <w:rPr>
          <w:rFonts w:ascii="仿宋_GB2312" w:eastAsia="仿宋_GB2312"/>
          <w:sz w:val="32"/>
        </w:rPr>
        <w:t>“上级补助收入”、“事业收入”、“经营收入”、“附属单位上缴收入”等以外的收入。</w:t>
      </w:r>
    </w:p>
    <w:p>
      <w:pPr>
        <w:pStyle w:val="8"/>
        <w:spacing w:line="560" w:lineRule="exact"/>
        <w:ind w:firstLine="640"/>
        <w:rPr>
          <w:rFonts w:hint="default" w:ascii="仿宋_GB2312" w:eastAsia="仿宋_GB2312"/>
          <w:sz w:val="32"/>
        </w:rPr>
      </w:pPr>
      <w:r>
        <w:rPr>
          <w:rFonts w:ascii="仿宋_GB2312" w:eastAsia="仿宋_GB2312"/>
          <w:b/>
          <w:sz w:val="32"/>
        </w:rPr>
        <w:t>7.使用非财政拨款结余：</w:t>
      </w:r>
      <w:r>
        <w:rPr>
          <w:rFonts w:ascii="仿宋_GB2312" w:eastAsia="仿宋_GB2312"/>
          <w:sz w:val="32"/>
        </w:rPr>
        <w:t>指事业单位按照预算管理要求使用非财政拨款结余弥补收支差额的金额。。</w:t>
      </w:r>
    </w:p>
    <w:p>
      <w:pPr>
        <w:pStyle w:val="8"/>
        <w:spacing w:line="560" w:lineRule="exact"/>
        <w:ind w:firstLine="640"/>
        <w:rPr>
          <w:rFonts w:hint="default" w:ascii="仿宋_GB2312" w:eastAsia="仿宋_GB2312"/>
          <w:sz w:val="32"/>
        </w:rPr>
      </w:pPr>
      <w:r>
        <w:rPr>
          <w:rFonts w:ascii="仿宋_GB2312" w:eastAsia="仿宋_GB2312"/>
          <w:b/>
          <w:sz w:val="32"/>
        </w:rPr>
        <w:t>8.上年结转和结余：</w:t>
      </w:r>
      <w:r>
        <w:rPr>
          <w:rFonts w:ascii="仿宋_GB2312" w:eastAsia="仿宋_GB2312"/>
          <w:sz w:val="32"/>
        </w:rPr>
        <w:t>指以前年度尚未完成、结转到本年按有关规定继续使用的资金。</w:t>
      </w:r>
    </w:p>
    <w:p>
      <w:pPr>
        <w:pStyle w:val="8"/>
        <w:spacing w:line="560" w:lineRule="exact"/>
        <w:ind w:firstLine="640"/>
        <w:rPr>
          <w:rFonts w:hint="default" w:ascii="仿宋_GB2312" w:eastAsia="仿宋_GB2312"/>
          <w:sz w:val="32"/>
        </w:rPr>
      </w:pPr>
      <w:r>
        <w:rPr>
          <w:rFonts w:ascii="仿宋_GB2312" w:eastAsia="仿宋_GB2312"/>
          <w:b/>
          <w:sz w:val="32"/>
        </w:rPr>
        <w:t>9.基本支出：</w:t>
      </w:r>
      <w:r>
        <w:rPr>
          <w:rFonts w:ascii="仿宋_GB2312" w:eastAsia="仿宋_GB2312"/>
          <w:sz w:val="32"/>
        </w:rPr>
        <w:t>指保障机构正常运转、完成日常工作任务而发生的人员支出和公用支出。</w:t>
      </w:r>
    </w:p>
    <w:p>
      <w:pPr>
        <w:pStyle w:val="8"/>
        <w:spacing w:line="560" w:lineRule="exact"/>
        <w:ind w:firstLine="640"/>
        <w:rPr>
          <w:rFonts w:hint="default" w:ascii="仿宋_GB2312" w:eastAsia="仿宋_GB2312"/>
          <w:sz w:val="32"/>
        </w:rPr>
      </w:pPr>
      <w:r>
        <w:rPr>
          <w:rFonts w:ascii="仿宋_GB2312" w:eastAsia="仿宋_GB2312"/>
          <w:b/>
          <w:sz w:val="32"/>
        </w:rPr>
        <w:t>10.项目支出：</w:t>
      </w:r>
      <w:r>
        <w:rPr>
          <w:rFonts w:ascii="仿宋_GB2312" w:eastAsia="仿宋_GB2312"/>
          <w:sz w:val="32"/>
        </w:rPr>
        <w:t>指在基本支出之外为完成特定行政任务和事业发展目标所发生的支出。</w:t>
      </w:r>
    </w:p>
    <w:p>
      <w:pPr>
        <w:pStyle w:val="8"/>
        <w:spacing w:line="560" w:lineRule="exact"/>
        <w:ind w:firstLine="640"/>
        <w:rPr>
          <w:rFonts w:hint="default" w:ascii="仿宋_GB2312" w:eastAsia="仿宋_GB2312"/>
          <w:sz w:val="32"/>
        </w:rPr>
      </w:pPr>
      <w:r>
        <w:rPr>
          <w:rFonts w:ascii="仿宋_GB2312" w:eastAsia="仿宋_GB2312"/>
          <w:b/>
          <w:sz w:val="32"/>
        </w:rPr>
        <w:t>11.上缴上级支出：</w:t>
      </w:r>
      <w:r>
        <w:rPr>
          <w:rFonts w:ascii="仿宋_GB2312" w:eastAsia="仿宋_GB2312"/>
          <w:sz w:val="32"/>
        </w:rPr>
        <w:t>指事业单位按照财政部门和主管部门的规定上缴上级单位的支出。</w:t>
      </w:r>
    </w:p>
    <w:p>
      <w:pPr>
        <w:pStyle w:val="8"/>
        <w:spacing w:line="560" w:lineRule="exact"/>
        <w:ind w:firstLine="640"/>
        <w:rPr>
          <w:rFonts w:hint="default" w:ascii="仿宋_GB2312" w:eastAsia="仿宋_GB2312"/>
          <w:sz w:val="32"/>
        </w:rPr>
      </w:pPr>
      <w:r>
        <w:rPr>
          <w:rFonts w:ascii="仿宋_GB2312" w:eastAsia="仿宋_GB2312"/>
          <w:b/>
          <w:sz w:val="32"/>
        </w:rPr>
        <w:t>12.经营支出：</w:t>
      </w:r>
      <w:r>
        <w:rPr>
          <w:rFonts w:ascii="仿宋_GB2312" w:eastAsia="仿宋_GB2312"/>
          <w:sz w:val="32"/>
        </w:rPr>
        <w:t>指事业单位在专业活动及辅助活动之外开展非独立核算经营活动发生的支出。</w:t>
      </w:r>
    </w:p>
    <w:p>
      <w:pPr>
        <w:pStyle w:val="8"/>
        <w:spacing w:line="560" w:lineRule="exact"/>
        <w:ind w:firstLine="640"/>
        <w:rPr>
          <w:rFonts w:hint="default" w:ascii="仿宋_GB2312" w:eastAsia="仿宋_GB2312"/>
          <w:b/>
          <w:sz w:val="32"/>
        </w:rPr>
      </w:pPr>
      <w:r>
        <w:rPr>
          <w:rFonts w:ascii="仿宋_GB2312" w:eastAsia="仿宋_GB2312"/>
          <w:b/>
          <w:sz w:val="32"/>
        </w:rPr>
        <w:t>13.对附属单位补助支出：</w:t>
      </w:r>
      <w:r>
        <w:rPr>
          <w:rFonts w:ascii="仿宋_GB2312" w:eastAsia="仿宋_GB2312"/>
          <w:sz w:val="32"/>
        </w:rPr>
        <w:t>指事业单位用财政补助收入之外的收入对附属单位补助发生的支出。</w:t>
      </w:r>
    </w:p>
    <w:p>
      <w:pPr>
        <w:pStyle w:val="8"/>
        <w:spacing w:line="560" w:lineRule="exact"/>
        <w:ind w:firstLine="640"/>
        <w:rPr>
          <w:rFonts w:hint="default" w:ascii="仿宋_GB2312" w:eastAsia="仿宋_GB2312"/>
          <w:sz w:val="32"/>
        </w:rPr>
      </w:pPr>
      <w:r>
        <w:rPr>
          <w:rFonts w:ascii="仿宋_GB2312" w:eastAsia="仿宋_GB2312"/>
          <w:b/>
          <w:sz w:val="32"/>
        </w:rPr>
        <w:t>14.“三公”经费：</w:t>
      </w:r>
      <w:r>
        <w:rPr>
          <w:rFonts w:ascii="仿宋_GB2312" w:eastAsia="仿宋_GB2312"/>
          <w:sz w:val="32"/>
        </w:rPr>
        <w:t>指用一般公共预算财政拨款安排的因公出国（境）费、公务用车购置及运行费和公务接待费。其中，因公出国（境）费反映单位公务出国（境）的住宿费、旅费、伙食补助费、杂费、培训费等支出；公务用车购置及运行费反映单位公务用车购置费及燃料费、维修费、过路过桥费、保险费、安全奖励费用等支出；公务接待费反映单位按规定开支的各类公务接待（含外宾接待）支出。</w:t>
      </w:r>
    </w:p>
    <w:p>
      <w:pPr>
        <w:pStyle w:val="8"/>
        <w:spacing w:line="560" w:lineRule="exact"/>
        <w:ind w:firstLine="640"/>
        <w:rPr>
          <w:rFonts w:hint="default" w:ascii="仿宋_GB2312" w:eastAsia="仿宋_GB2312"/>
          <w:sz w:val="32"/>
          <w:szCs w:val="32"/>
        </w:rPr>
      </w:pPr>
      <w:r>
        <w:rPr>
          <w:rFonts w:ascii="仿宋_GB2312" w:eastAsia="仿宋_GB2312"/>
          <w:b/>
          <w:bCs/>
          <w:sz w:val="32"/>
        </w:rPr>
        <w:t>15.机关运行经费：</w:t>
      </w:r>
      <w:r>
        <w:rPr>
          <w:rFonts w:ascii="仿宋_GB2312" w:eastAsia="仿宋_GB2312"/>
          <w:sz w:val="32"/>
          <w:szCs w:val="32"/>
        </w:rPr>
        <w:t>指为保障行政单位和参照公务员法管理的事业单位运行，使用一般公共预算财政拨款安排的基本支出中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8"/>
        <w:spacing w:line="560" w:lineRule="exact"/>
        <w:ind w:firstLine="640"/>
        <w:rPr>
          <w:rFonts w:hint="default" w:ascii="仿宋_GB2312" w:eastAsia="仿宋_GB2312"/>
          <w:b/>
          <w:sz w:val="32"/>
        </w:rPr>
      </w:pPr>
      <w:r>
        <w:rPr>
          <w:rFonts w:ascii="仿宋_GB2312" w:eastAsia="仿宋_GB2312"/>
          <w:b/>
          <w:sz w:val="32"/>
        </w:rPr>
        <w:t>16.一般公共服务（类）财政事务（款）行政运行（项）：</w:t>
      </w:r>
      <w:r>
        <w:rPr>
          <w:rFonts w:ascii="仿宋_GB2312" w:eastAsia="仿宋_GB2312"/>
          <w:sz w:val="32"/>
        </w:rPr>
        <w:t>反映行政单位（包括实行公务员管理的事业单位）的基本支出。</w:t>
      </w:r>
    </w:p>
    <w:p>
      <w:pPr>
        <w:pStyle w:val="8"/>
        <w:spacing w:line="560" w:lineRule="exact"/>
        <w:ind w:firstLine="640"/>
        <w:rPr>
          <w:rFonts w:hint="default" w:ascii="仿宋_GB2312" w:eastAsia="仿宋_GB2312"/>
          <w:i/>
          <w:sz w:val="32"/>
          <w:u w:val="singl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r>
        <w:rPr>
          <w:rFonts w:ascii="仿宋_GB2312" w:eastAsia="仿宋_GB2312"/>
          <w:i/>
          <w:sz w:val="32"/>
          <w:u w:val="single"/>
        </w:rPr>
        <w:t>（部门决算涉及的支出功能分类全部项级科目，逐一解释）……</w:t>
      </w:r>
    </w:p>
    <w:p>
      <w:pPr>
        <w:pStyle w:val="8"/>
        <w:spacing w:line="560" w:lineRule="exact"/>
        <w:ind w:firstLine="640"/>
        <w:rPr>
          <w:rFonts w:hint="default" w:ascii="仿宋_GB2312" w:eastAsia="仿宋_GB2312"/>
          <w:i/>
          <w:sz w:val="32"/>
          <w:u w:val="single"/>
        </w:rPr>
      </w:pPr>
    </w:p>
    <w:p>
      <w:pPr>
        <w:pStyle w:val="8"/>
        <w:spacing w:line="560" w:lineRule="atLeast"/>
        <w:jc w:val="left"/>
        <w:rPr>
          <w:rFonts w:hint="default" w:ascii="仿宋_GB2312" w:hAnsi="仿宋_GB2312" w:eastAsia="仿宋_GB2312" w:cs="仿宋_GB2312"/>
          <w:b/>
          <w:sz w:val="52"/>
          <w:szCs w:val="52"/>
        </w:rPr>
      </w:pPr>
    </w:p>
    <w:p>
      <w:pPr>
        <w:pStyle w:val="8"/>
        <w:spacing w:line="560" w:lineRule="atLeast"/>
        <w:jc w:val="left"/>
        <w:rPr>
          <w:rFonts w:hint="default" w:ascii="仿宋_GB2312" w:hAnsi="仿宋_GB2312" w:eastAsia="仿宋_GB2312" w:cs="仿宋_GB2312"/>
          <w:b/>
          <w:sz w:val="52"/>
          <w:szCs w:val="52"/>
        </w:rPr>
      </w:pPr>
    </w:p>
    <w:p>
      <w:pPr>
        <w:pStyle w:val="8"/>
        <w:spacing w:line="560" w:lineRule="atLeast"/>
        <w:jc w:val="left"/>
        <w:rPr>
          <w:rFonts w:hint="default" w:ascii="仿宋_GB2312" w:hAnsi="仿宋_GB2312" w:eastAsia="仿宋_GB2312" w:cs="仿宋_GB2312"/>
          <w:b/>
          <w:sz w:val="52"/>
          <w:szCs w:val="52"/>
        </w:rPr>
      </w:pPr>
    </w:p>
    <w:p>
      <w:pPr>
        <w:pStyle w:val="8"/>
        <w:spacing w:line="560" w:lineRule="atLeast"/>
        <w:jc w:val="center"/>
        <w:rPr>
          <w:rFonts w:hint="default"/>
          <w:b/>
          <w:sz w:val="36"/>
        </w:rPr>
      </w:pPr>
      <w:r>
        <w:rPr>
          <w:rFonts w:ascii="仿宋_GB2312" w:hAnsi="仿宋_GB2312" w:eastAsia="仿宋_GB2312" w:cs="仿宋_GB2312"/>
          <w:b/>
          <w:sz w:val="52"/>
          <w:szCs w:val="52"/>
        </w:rPr>
        <w:t xml:space="preserve">第四部分 </w:t>
      </w:r>
      <w:r>
        <w:rPr>
          <w:rFonts w:hint="eastAsia" w:ascii="仿宋_GB2312" w:hAnsi="仿宋_GB2312" w:eastAsia="仿宋_GB2312" w:cs="仿宋_GB2312"/>
          <w:b/>
          <w:sz w:val="52"/>
          <w:szCs w:val="52"/>
          <w:lang w:eastAsia="zh-CN"/>
        </w:rPr>
        <w:t>沈阳市体育局本级</w:t>
      </w:r>
      <w:r>
        <w:rPr>
          <w:rFonts w:ascii="仿宋_GB2312" w:hAnsi="仿宋_GB2312" w:eastAsia="仿宋_GB2312" w:cs="仿宋_GB2312"/>
          <w:b/>
          <w:sz w:val="52"/>
          <w:szCs w:val="52"/>
        </w:rPr>
        <w:t>2021年度部门决算表</w:t>
      </w:r>
    </w:p>
    <w:p>
      <w:pPr>
        <w:rPr>
          <w:rFonts w:hint="default" w:ascii="仿宋_GB2312" w:hAnsi="宋体" w:eastAsia="仿宋_GB2312"/>
          <w:kern w:val="0"/>
          <w:sz w:val="32"/>
        </w:rPr>
      </w:pPr>
    </w:p>
    <w:p>
      <w:pPr>
        <w:pStyle w:val="2"/>
        <w:rPr>
          <w:rFonts w:hint="default" w:ascii="仿宋_GB2312" w:hAnsi="宋体" w:eastAsia="仿宋_GB2312"/>
          <w:kern w:val="0"/>
          <w:sz w:val="32"/>
        </w:rPr>
      </w:pPr>
    </w:p>
    <w:p>
      <w:pPr>
        <w:pStyle w:val="2"/>
        <w:rPr>
          <w:rFonts w:hint="default" w:ascii="仿宋_GB2312" w:hAnsi="宋体" w:eastAsia="仿宋_GB2312"/>
          <w:kern w:val="0"/>
          <w:sz w:val="32"/>
        </w:rPr>
      </w:pPr>
    </w:p>
    <w:p>
      <w:pPr>
        <w:pStyle w:val="2"/>
        <w:rPr>
          <w:rFonts w:hint="default" w:ascii="仿宋_GB2312" w:hAnsi="宋体" w:eastAsia="仿宋_GB2312"/>
          <w:kern w:val="0"/>
          <w:sz w:val="32"/>
        </w:rPr>
      </w:pPr>
    </w:p>
    <w:p>
      <w:pPr>
        <w:rPr>
          <w:rFonts w:hint="default" w:ascii="仿宋_GB2312" w:hAnsi="宋体" w:eastAsia="仿宋_GB2312"/>
          <w:kern w:val="0"/>
          <w:sz w:val="32"/>
        </w:rPr>
      </w:pPr>
    </w:p>
    <w:p>
      <w:pPr>
        <w:rPr>
          <w:rFonts w:hint="default" w:ascii="仿宋_GB2312" w:hAnsi="宋体" w:eastAsia="仿宋_GB2312"/>
          <w:kern w:val="0"/>
          <w:sz w:val="32"/>
        </w:rPr>
      </w:pPr>
    </w:p>
    <w:p>
      <w:pPr>
        <w:rPr>
          <w:rFonts w:hint="default" w:ascii="仿宋_GB2312" w:hAnsi="宋体" w:eastAsia="仿宋_GB2312"/>
          <w:kern w:val="0"/>
          <w:sz w:val="32"/>
        </w:rPr>
      </w:pPr>
    </w:p>
    <w:p>
      <w:pPr>
        <w:widowControl/>
        <w:spacing w:line="560" w:lineRule="atLeast"/>
        <w:jc w:val="both"/>
        <w:rPr>
          <w:rFonts w:hint="default" w:ascii="仿宋_GB2312" w:hAnsi="宋体" w:eastAsia="仿宋_GB2312"/>
          <w:b/>
          <w:kern w:val="0"/>
          <w:sz w:val="32"/>
          <w:highlight w:val="none"/>
        </w:rPr>
      </w:pPr>
      <w:r>
        <w:rPr>
          <w:rFonts w:hint="eastAsia" w:ascii="黑体" w:hAnsi="宋体" w:eastAsia="黑体"/>
          <w:kern w:val="0"/>
          <w:sz w:val="32"/>
          <w:highlight w:val="none"/>
        </w:rPr>
        <w:t xml:space="preserve">附件1 </w:t>
      </w:r>
      <w:r>
        <w:rPr>
          <w:rFonts w:hint="eastAsia" w:ascii="仿宋_GB2312" w:hAnsi="宋体" w:eastAsia="仿宋_GB2312"/>
          <w:b/>
          <w:kern w:val="0"/>
          <w:sz w:val="32"/>
          <w:highlight w:val="none"/>
        </w:rPr>
        <w:t>20</w:t>
      </w:r>
      <w:r>
        <w:rPr>
          <w:rFonts w:hint="eastAsia" w:ascii="仿宋_GB2312" w:hAnsi="宋体" w:eastAsia="仿宋_GB2312"/>
          <w:b/>
          <w:kern w:val="0"/>
          <w:sz w:val="32"/>
          <w:highlight w:val="none"/>
          <w:lang w:val="en-US" w:eastAsia="zh-CN"/>
        </w:rPr>
        <w:t>21</w:t>
      </w:r>
      <w:r>
        <w:rPr>
          <w:rFonts w:hint="eastAsia" w:ascii="仿宋_GB2312" w:hAnsi="宋体" w:eastAsia="仿宋_GB2312"/>
          <w:b/>
          <w:kern w:val="0"/>
          <w:sz w:val="32"/>
          <w:highlight w:val="none"/>
        </w:rPr>
        <w:t>年</w:t>
      </w:r>
      <w:r>
        <w:rPr>
          <w:rFonts w:hint="eastAsia" w:ascii="仿宋_GB2312" w:hAnsi="宋体" w:eastAsia="仿宋_GB2312"/>
          <w:b/>
          <w:kern w:val="0"/>
          <w:sz w:val="32"/>
          <w:highlight w:val="none"/>
          <w:lang w:eastAsia="zh-CN"/>
        </w:rPr>
        <w:t>度</w:t>
      </w:r>
      <w:r>
        <w:rPr>
          <w:rFonts w:hint="eastAsia" w:ascii="仿宋_GB2312" w:hAnsi="宋体" w:eastAsia="仿宋_GB2312"/>
          <w:b/>
          <w:kern w:val="0"/>
          <w:sz w:val="32"/>
          <w:highlight w:val="none"/>
        </w:rPr>
        <w:t>市直部门决算公开报表</w:t>
      </w:r>
    </w:p>
    <w:p>
      <w:pPr>
        <w:widowControl/>
        <w:spacing w:line="560" w:lineRule="atLeast"/>
        <w:rPr>
          <w:rFonts w:hint="default" w:ascii="仿宋_GB2312" w:hAnsi="宋体" w:eastAsia="仿宋_GB2312"/>
          <w:kern w:val="0"/>
          <w:sz w:val="24"/>
          <w:highlight w:val="none"/>
        </w:rPr>
      </w:pPr>
      <w:r>
        <w:rPr>
          <w:rFonts w:hint="eastAsia" w:ascii="仿宋_GB2312" w:hAnsi="宋体" w:eastAsia="仿宋_GB2312"/>
          <w:kern w:val="0"/>
          <w:sz w:val="24"/>
          <w:highlight w:val="none"/>
        </w:rPr>
        <w:t xml:space="preserve">附件1-1                                </w:t>
      </w:r>
      <w:r>
        <w:rPr>
          <w:rFonts w:hint="eastAsia" w:ascii="仿宋_GB2312" w:hAnsi="宋体" w:eastAsia="仿宋_GB2312"/>
          <w:kern w:val="0"/>
          <w:sz w:val="24"/>
          <w:highlight w:val="none"/>
          <w:lang w:val="en-US" w:eastAsia="zh-CN"/>
        </w:rPr>
        <w:t xml:space="preserve">         </w:t>
      </w:r>
      <w:r>
        <w:rPr>
          <w:rFonts w:hint="eastAsia" w:ascii="仿宋_GB2312" w:hAnsi="宋体" w:eastAsia="仿宋_GB2312"/>
          <w:kern w:val="0"/>
          <w:sz w:val="24"/>
          <w:highlight w:val="none"/>
        </w:rPr>
        <w:t xml:space="preserve"> </w:t>
      </w:r>
      <w:r>
        <w:rPr>
          <w:rFonts w:hint="eastAsia" w:ascii="宋体" w:hAnsi="宋体"/>
          <w:b/>
          <w:color w:val="000000"/>
          <w:kern w:val="0"/>
          <w:sz w:val="28"/>
          <w:highlight w:val="none"/>
          <w:shd w:val="clear" w:color="auto" w:fill="FFFFFF"/>
        </w:rPr>
        <w:t>收入支出决算总表</w:t>
      </w:r>
    </w:p>
    <w:tbl>
      <w:tblPr>
        <w:tblStyle w:val="5"/>
        <w:tblW w:w="13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79"/>
        <w:gridCol w:w="636"/>
        <w:gridCol w:w="2517"/>
        <w:gridCol w:w="236"/>
        <w:gridCol w:w="236"/>
        <w:gridCol w:w="2579"/>
        <w:gridCol w:w="1019"/>
        <w:gridCol w:w="2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13920" w:type="dxa"/>
            <w:gridSpan w:val="8"/>
            <w:tcBorders>
              <w:top w:val="nil"/>
              <w:left w:val="nil"/>
              <w:bottom w:val="nil"/>
              <w:right w:val="nil"/>
            </w:tcBorders>
            <w:shd w:val="clear" w:color="auto" w:fill="FFFFFF"/>
            <w:vAlign w:val="center"/>
          </w:tcPr>
          <w:p>
            <w:pPr>
              <w:widowControl/>
              <w:shd w:val="clear" w:color="auto" w:fill="FFFFFF"/>
              <w:spacing w:line="153" w:lineRule="atLeast"/>
              <w:jc w:val="right"/>
              <w:rPr>
                <w:rFonts w:hint="default" w:ascii="宋体"/>
                <w:b/>
                <w:color w:val="000000"/>
                <w:kern w:val="0"/>
                <w:highlight w:val="none"/>
                <w:shd w:val="clear" w:color="auto" w:fill="FFFFFF"/>
              </w:rPr>
            </w:pPr>
            <w:r>
              <w:rPr>
                <w:rFonts w:hint="eastAsia" w:ascii="宋体" w:hAnsi="宋体"/>
                <w:b/>
                <w:color w:val="000000"/>
                <w:kern w:val="0"/>
                <w:sz w:val="28"/>
                <w:highlight w:val="none"/>
                <w:shd w:val="clear" w:color="auto" w:fill="FFFFFF"/>
              </w:rPr>
              <w:t xml:space="preserve">                                                                                         </w:t>
            </w:r>
            <w:r>
              <w:rPr>
                <w:rFonts w:hint="eastAsia" w:ascii="宋体" w:hAnsi="宋体"/>
                <w:color w:val="000000"/>
                <w:kern w:val="0"/>
                <w:highlight w:val="none"/>
                <w:shd w:val="clear" w:color="auto" w:fill="FFFFFF"/>
              </w:rPr>
              <w:t>公开01表</w:t>
            </w:r>
            <w:r>
              <w:rPr>
                <w:rFonts w:hint="eastAsia" w:ascii="宋体" w:hAnsi="宋体"/>
                <w:b/>
                <w:color w:val="000000"/>
                <w:kern w:val="0"/>
                <w:sz w:val="28"/>
                <w:highlight w:val="none"/>
                <w:shd w:val="clear" w:color="auto" w:fill="FFFFFF"/>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7032" w:type="dxa"/>
            <w:gridSpan w:val="3"/>
            <w:tcBorders>
              <w:top w:val="nil"/>
              <w:left w:val="nil"/>
              <w:bottom w:val="nil"/>
              <w:right w:val="nil"/>
            </w:tcBorders>
            <w:shd w:val="clear" w:color="auto" w:fill="FFFFFF"/>
            <w:vAlign w:val="bottom"/>
          </w:tcPr>
          <w:p>
            <w:pPr>
              <w:widowControl/>
              <w:shd w:val="clear" w:color="auto" w:fill="FFFFFF"/>
              <w:jc w:val="left"/>
              <w:rPr>
                <w:rFonts w:hint="default" w:ascii="宋体"/>
                <w:color w:val="000000"/>
                <w:kern w:val="0"/>
                <w:sz w:val="16"/>
                <w:highlight w:val="none"/>
                <w:shd w:val="clear" w:color="auto" w:fill="FFFFFF"/>
              </w:rPr>
            </w:pPr>
            <w:r>
              <w:rPr>
                <w:rFonts w:hint="eastAsia" w:ascii="宋体" w:hAnsi="宋体"/>
                <w:color w:val="000000"/>
                <w:kern w:val="0"/>
                <w:highlight w:val="none"/>
                <w:shd w:val="clear" w:color="auto" w:fill="FFFFFF"/>
              </w:rPr>
              <w:t>部门：</w:t>
            </w:r>
            <w:r>
              <w:rPr>
                <w:rFonts w:hint="eastAsia" w:ascii="宋体" w:hAnsi="宋体"/>
                <w:color w:val="000000"/>
                <w:kern w:val="0"/>
                <w:highlight w:val="none"/>
                <w:shd w:val="clear" w:color="auto" w:fill="FFFFFF"/>
                <w:lang w:eastAsia="zh-CN"/>
              </w:rPr>
              <w:t>沈阳市体育局本级</w:t>
            </w:r>
          </w:p>
        </w:tc>
        <w:tc>
          <w:tcPr>
            <w:tcW w:w="236" w:type="dxa"/>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sz w:val="16"/>
                <w:highlight w:val="none"/>
                <w:shd w:val="clear" w:color="auto" w:fill="FFFFFF"/>
              </w:rPr>
            </w:pPr>
          </w:p>
        </w:tc>
        <w:tc>
          <w:tcPr>
            <w:tcW w:w="236" w:type="dxa"/>
            <w:tcBorders>
              <w:top w:val="nil"/>
              <w:left w:val="nil"/>
              <w:bottom w:val="nil"/>
              <w:right w:val="nil"/>
            </w:tcBorders>
            <w:shd w:val="clear" w:color="auto" w:fill="auto"/>
            <w:vAlign w:val="bottom"/>
          </w:tcPr>
          <w:p>
            <w:pPr>
              <w:widowControl/>
              <w:shd w:val="clear" w:color="auto" w:fill="FFFFFF"/>
              <w:jc w:val="right"/>
              <w:rPr>
                <w:rFonts w:hint="default" w:ascii="宋体"/>
                <w:color w:val="000000"/>
                <w:kern w:val="0"/>
                <w:sz w:val="16"/>
                <w:highlight w:val="none"/>
                <w:shd w:val="clear" w:color="auto" w:fill="FFFFFF"/>
              </w:rPr>
            </w:pPr>
          </w:p>
        </w:tc>
        <w:tc>
          <w:tcPr>
            <w:tcW w:w="6416" w:type="dxa"/>
            <w:gridSpan w:val="3"/>
            <w:tcBorders>
              <w:top w:val="nil"/>
              <w:left w:val="nil"/>
              <w:bottom w:val="nil"/>
              <w:right w:val="nil"/>
            </w:tcBorders>
            <w:shd w:val="clear" w:color="auto" w:fill="FFFFFF"/>
            <w:vAlign w:val="bottom"/>
          </w:tcPr>
          <w:p>
            <w:pPr>
              <w:widowControl/>
              <w:shd w:val="clear" w:color="auto" w:fill="FFFFFF"/>
              <w:spacing w:line="150" w:lineRule="atLeast"/>
              <w:jc w:val="right"/>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703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spacing w:line="125" w:lineRule="atLeast"/>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收     入</w:t>
            </w:r>
          </w:p>
        </w:tc>
        <w:tc>
          <w:tcPr>
            <w:tcW w:w="6888" w:type="dxa"/>
            <w:gridSpan w:val="5"/>
            <w:tcBorders>
              <w:top w:val="single" w:color="000000" w:sz="4" w:space="0"/>
              <w:left w:val="nil"/>
              <w:bottom w:val="single" w:color="000000" w:sz="4" w:space="0"/>
              <w:right w:val="single" w:color="000000" w:sz="4" w:space="0"/>
            </w:tcBorders>
            <w:shd w:val="clear" w:color="auto" w:fill="FFFFFF"/>
            <w:vAlign w:val="center"/>
          </w:tcPr>
          <w:p>
            <w:pPr>
              <w:widowControl/>
              <w:shd w:val="clear" w:color="auto" w:fill="FFFFFF"/>
              <w:spacing w:line="125" w:lineRule="atLeast"/>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项    目</w:t>
            </w:r>
          </w:p>
        </w:tc>
        <w:tc>
          <w:tcPr>
            <w:tcW w:w="636" w:type="dxa"/>
            <w:tcBorders>
              <w:top w:val="single" w:color="000000" w:sz="4" w:space="0"/>
              <w:left w:val="nil"/>
              <w:bottom w:val="single" w:color="000000" w:sz="4" w:space="0"/>
              <w:right w:val="single" w:color="000000" w:sz="4" w:space="0"/>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行次</w:t>
            </w:r>
          </w:p>
        </w:tc>
        <w:tc>
          <w:tcPr>
            <w:tcW w:w="2517" w:type="dxa"/>
            <w:tcBorders>
              <w:top w:val="single" w:color="000000" w:sz="4" w:space="0"/>
              <w:left w:val="nil"/>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eastAsia="宋体"/>
                <w:color w:val="000000"/>
                <w:kern w:val="0"/>
                <w:highlight w:val="none"/>
                <w:shd w:val="clear" w:color="auto" w:fill="FFFFFF"/>
                <w:lang w:eastAsia="zh-CN"/>
              </w:rPr>
            </w:pPr>
            <w:r>
              <w:rPr>
                <w:rFonts w:hint="eastAsia" w:ascii="宋体" w:hAnsi="宋体"/>
                <w:color w:val="000000"/>
                <w:kern w:val="0"/>
                <w:highlight w:val="none"/>
                <w:shd w:val="clear" w:color="auto" w:fill="FFFFFF"/>
                <w:lang w:eastAsia="zh-CN"/>
              </w:rPr>
              <w:t>决算数</w:t>
            </w:r>
          </w:p>
        </w:tc>
        <w:tc>
          <w:tcPr>
            <w:tcW w:w="3051" w:type="dxa"/>
            <w:gridSpan w:val="3"/>
            <w:tcBorders>
              <w:top w:val="single" w:color="000000" w:sz="4" w:space="0"/>
              <w:left w:val="nil"/>
              <w:bottom w:val="single" w:color="000000" w:sz="4" w:space="0"/>
              <w:right w:val="single" w:color="000000" w:sz="4" w:space="0"/>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项    目</w:t>
            </w:r>
          </w:p>
        </w:tc>
        <w:tc>
          <w:tcPr>
            <w:tcW w:w="1019"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default" w:ascii="宋体"/>
                <w:color w:val="000000"/>
                <w:kern w:val="0"/>
                <w:highlight w:val="none"/>
              </w:rPr>
            </w:pPr>
            <w:r>
              <w:rPr>
                <w:rFonts w:hint="eastAsia" w:ascii="宋体" w:hAnsi="宋体"/>
                <w:color w:val="000000"/>
                <w:kern w:val="0"/>
                <w:highlight w:val="none"/>
              </w:rPr>
              <w:t>行次</w:t>
            </w:r>
          </w:p>
        </w:tc>
        <w:tc>
          <w:tcPr>
            <w:tcW w:w="2818" w:type="dxa"/>
            <w:tcBorders>
              <w:top w:val="single" w:color="000000" w:sz="4" w:space="0"/>
              <w:left w:val="nil"/>
              <w:bottom w:val="single" w:color="000000" w:sz="4" w:space="0"/>
              <w:right w:val="single" w:color="000000" w:sz="4" w:space="0"/>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lang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栏    次</w:t>
            </w:r>
          </w:p>
        </w:tc>
        <w:tc>
          <w:tcPr>
            <w:tcW w:w="636" w:type="dxa"/>
            <w:tcBorders>
              <w:top w:val="single" w:color="000000" w:sz="4" w:space="0"/>
              <w:left w:val="nil"/>
              <w:bottom w:val="single" w:color="000000" w:sz="4" w:space="0"/>
              <w:right w:val="single" w:color="000000" w:sz="4" w:space="0"/>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p>
        </w:tc>
        <w:tc>
          <w:tcPr>
            <w:tcW w:w="2517" w:type="dxa"/>
            <w:tcBorders>
              <w:top w:val="single" w:color="000000" w:sz="4" w:space="0"/>
              <w:left w:val="nil"/>
              <w:bottom w:val="single" w:color="000000" w:sz="4" w:space="0"/>
              <w:right w:val="single" w:color="000000" w:sz="4" w:space="0"/>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1</w:t>
            </w:r>
          </w:p>
        </w:tc>
        <w:tc>
          <w:tcPr>
            <w:tcW w:w="3051" w:type="dxa"/>
            <w:gridSpan w:val="3"/>
            <w:tcBorders>
              <w:top w:val="single" w:color="000000" w:sz="4" w:space="0"/>
              <w:left w:val="nil"/>
              <w:bottom w:val="single" w:color="000000" w:sz="4" w:space="0"/>
              <w:right w:val="single" w:color="000000" w:sz="4" w:space="0"/>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栏    次</w:t>
            </w:r>
          </w:p>
        </w:tc>
        <w:tc>
          <w:tcPr>
            <w:tcW w:w="1019"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highlight w:val="none"/>
              </w:rPr>
            </w:pPr>
          </w:p>
        </w:tc>
        <w:tc>
          <w:tcPr>
            <w:tcW w:w="2818"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highlight w:val="none"/>
              </w:rPr>
            </w:pPr>
            <w:r>
              <w:rPr>
                <w:rFonts w:hint="eastAsia" w:ascii="宋体" w:hAnsi="宋体"/>
                <w:color w:val="000000"/>
                <w:kern w:val="0"/>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宋体"/>
                <w:color w:val="000000"/>
                <w:kern w:val="0"/>
                <w:highlight w:val="none"/>
              </w:rPr>
            </w:pPr>
            <w:r>
              <w:rPr>
                <w:rFonts w:hint="eastAsia" w:ascii="宋体" w:hAnsi="宋体"/>
                <w:color w:val="000000"/>
                <w:kern w:val="0"/>
                <w:highlight w:val="none"/>
              </w:rPr>
              <w:t>一、一般公共预算财政拨款收入</w:t>
            </w:r>
          </w:p>
        </w:tc>
        <w:tc>
          <w:tcPr>
            <w:tcW w:w="63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25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2,522.61</w:t>
            </w:r>
          </w:p>
        </w:tc>
        <w:tc>
          <w:tcPr>
            <w:tcW w:w="3051" w:type="dxa"/>
            <w:gridSpan w:val="3"/>
            <w:tcBorders>
              <w:top w:val="single" w:color="000000" w:sz="4" w:space="0"/>
              <w:left w:val="nil"/>
              <w:bottom w:val="single" w:color="000000" w:sz="4" w:space="0"/>
              <w:right w:val="single" w:color="000000" w:sz="4" w:space="0"/>
            </w:tcBorders>
            <w:vAlign w:val="center"/>
          </w:tcPr>
          <w:p>
            <w:pPr>
              <w:widowControl/>
              <w:jc w:val="left"/>
              <w:rPr>
                <w:rFonts w:hint="default" w:ascii="宋体"/>
                <w:color w:val="000000"/>
                <w:kern w:val="0"/>
                <w:highlight w:val="none"/>
              </w:rPr>
            </w:pPr>
            <w:r>
              <w:rPr>
                <w:rFonts w:hint="eastAsia" w:ascii="宋体" w:hAnsi="宋体"/>
                <w:color w:val="000000"/>
                <w:kern w:val="0"/>
                <w:highlight w:val="none"/>
              </w:rPr>
              <w:t>一、一般公共服务支出</w:t>
            </w:r>
          </w:p>
        </w:tc>
        <w:tc>
          <w:tcPr>
            <w:tcW w:w="10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32</w:t>
            </w:r>
          </w:p>
        </w:tc>
        <w:tc>
          <w:tcPr>
            <w:tcW w:w="281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宋体"/>
                <w:color w:val="000000"/>
                <w:kern w:val="0"/>
                <w:highlight w:val="none"/>
              </w:rPr>
            </w:pPr>
            <w:r>
              <w:rPr>
                <w:rFonts w:hint="eastAsia" w:ascii="宋体" w:hAnsi="宋体"/>
                <w:color w:val="000000"/>
                <w:kern w:val="0"/>
                <w:highlight w:val="none"/>
              </w:rPr>
              <w:t>二、政府性基金预算财政拨款收入</w:t>
            </w:r>
          </w:p>
        </w:tc>
        <w:tc>
          <w:tcPr>
            <w:tcW w:w="63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2</w:t>
            </w:r>
          </w:p>
        </w:tc>
        <w:tc>
          <w:tcPr>
            <w:tcW w:w="25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1,606.04</w:t>
            </w:r>
          </w:p>
        </w:tc>
        <w:tc>
          <w:tcPr>
            <w:tcW w:w="3051" w:type="dxa"/>
            <w:gridSpan w:val="3"/>
            <w:tcBorders>
              <w:top w:val="single" w:color="000000" w:sz="4" w:space="0"/>
              <w:left w:val="nil"/>
              <w:bottom w:val="single" w:color="000000" w:sz="4" w:space="0"/>
              <w:right w:val="single" w:color="000000" w:sz="4" w:space="0"/>
            </w:tcBorders>
            <w:vAlign w:val="center"/>
          </w:tcPr>
          <w:p>
            <w:pPr>
              <w:widowControl/>
              <w:jc w:val="left"/>
              <w:rPr>
                <w:rFonts w:hint="default" w:ascii="宋体"/>
                <w:color w:val="000000"/>
                <w:kern w:val="0"/>
                <w:highlight w:val="none"/>
              </w:rPr>
            </w:pPr>
            <w:r>
              <w:rPr>
                <w:rFonts w:hint="eastAsia" w:ascii="宋体" w:hAnsi="宋体"/>
                <w:color w:val="000000"/>
                <w:kern w:val="0"/>
                <w:highlight w:val="none"/>
              </w:rPr>
              <w:t>二、外交支出</w:t>
            </w:r>
          </w:p>
        </w:tc>
        <w:tc>
          <w:tcPr>
            <w:tcW w:w="10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33</w:t>
            </w:r>
          </w:p>
        </w:tc>
        <w:tc>
          <w:tcPr>
            <w:tcW w:w="281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eastAsia="宋体"/>
                <w:color w:val="000000"/>
                <w:kern w:val="0"/>
                <w:highlight w:val="none"/>
                <w:lang w:eastAsia="zh-CN"/>
              </w:rPr>
            </w:pPr>
            <w:r>
              <w:rPr>
                <w:rFonts w:hint="eastAsia" w:ascii="宋体"/>
                <w:color w:val="000000"/>
                <w:kern w:val="0"/>
                <w:highlight w:val="none"/>
                <w:lang w:eastAsia="zh-CN"/>
              </w:rPr>
              <w:t>三、国有资本经营预算财政拨款收入</w:t>
            </w:r>
          </w:p>
        </w:tc>
        <w:tc>
          <w:tcPr>
            <w:tcW w:w="63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3</w:t>
            </w:r>
          </w:p>
        </w:tc>
        <w:tc>
          <w:tcPr>
            <w:tcW w:w="25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c>
          <w:tcPr>
            <w:tcW w:w="3051" w:type="dxa"/>
            <w:gridSpan w:val="3"/>
            <w:tcBorders>
              <w:top w:val="single" w:color="000000" w:sz="4" w:space="0"/>
              <w:left w:val="nil"/>
              <w:bottom w:val="single" w:color="000000" w:sz="4" w:space="0"/>
              <w:right w:val="single" w:color="000000" w:sz="4" w:space="0"/>
            </w:tcBorders>
            <w:vAlign w:val="center"/>
          </w:tcPr>
          <w:p>
            <w:pPr>
              <w:widowControl/>
              <w:jc w:val="left"/>
              <w:rPr>
                <w:rFonts w:hint="default" w:ascii="宋体"/>
                <w:color w:val="000000"/>
                <w:kern w:val="0"/>
                <w:highlight w:val="none"/>
              </w:rPr>
            </w:pPr>
            <w:r>
              <w:rPr>
                <w:rFonts w:hint="eastAsia" w:ascii="宋体" w:hAnsi="宋体"/>
                <w:color w:val="000000"/>
                <w:kern w:val="0"/>
                <w:highlight w:val="none"/>
              </w:rPr>
              <w:t>三、国防支出</w:t>
            </w:r>
          </w:p>
        </w:tc>
        <w:tc>
          <w:tcPr>
            <w:tcW w:w="10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34</w:t>
            </w:r>
          </w:p>
        </w:tc>
        <w:tc>
          <w:tcPr>
            <w:tcW w:w="281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宋体"/>
                <w:color w:val="000000"/>
                <w:kern w:val="0"/>
                <w:highlight w:val="none"/>
              </w:rPr>
            </w:pPr>
            <w:r>
              <w:rPr>
                <w:rFonts w:hint="eastAsia" w:ascii="宋体" w:hAnsi="宋体"/>
                <w:color w:val="000000"/>
                <w:kern w:val="0"/>
                <w:highlight w:val="none"/>
                <w:lang w:eastAsia="zh-CN"/>
              </w:rPr>
              <w:t>四</w:t>
            </w:r>
            <w:r>
              <w:rPr>
                <w:rFonts w:hint="eastAsia" w:ascii="宋体" w:hAnsi="宋体"/>
                <w:color w:val="000000"/>
                <w:kern w:val="0"/>
                <w:highlight w:val="none"/>
              </w:rPr>
              <w:t>、上级补助收入</w:t>
            </w:r>
          </w:p>
        </w:tc>
        <w:tc>
          <w:tcPr>
            <w:tcW w:w="63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4</w:t>
            </w:r>
          </w:p>
        </w:tc>
        <w:tc>
          <w:tcPr>
            <w:tcW w:w="25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c>
          <w:tcPr>
            <w:tcW w:w="3051" w:type="dxa"/>
            <w:gridSpan w:val="3"/>
            <w:tcBorders>
              <w:top w:val="single" w:color="000000" w:sz="4" w:space="0"/>
              <w:left w:val="nil"/>
              <w:bottom w:val="single" w:color="000000" w:sz="4" w:space="0"/>
              <w:right w:val="single" w:color="000000" w:sz="4" w:space="0"/>
            </w:tcBorders>
            <w:vAlign w:val="center"/>
          </w:tcPr>
          <w:p>
            <w:pPr>
              <w:widowControl/>
              <w:jc w:val="left"/>
              <w:rPr>
                <w:rFonts w:hint="default" w:ascii="宋体"/>
                <w:color w:val="000000"/>
                <w:kern w:val="0"/>
                <w:highlight w:val="none"/>
              </w:rPr>
            </w:pPr>
            <w:r>
              <w:rPr>
                <w:rFonts w:hint="eastAsia" w:ascii="宋体" w:hAnsi="宋体"/>
                <w:color w:val="000000"/>
                <w:kern w:val="0"/>
                <w:highlight w:val="none"/>
              </w:rPr>
              <w:t>四、公共安全支出</w:t>
            </w:r>
          </w:p>
        </w:tc>
        <w:tc>
          <w:tcPr>
            <w:tcW w:w="10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35</w:t>
            </w:r>
          </w:p>
        </w:tc>
        <w:tc>
          <w:tcPr>
            <w:tcW w:w="281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宋体"/>
                <w:color w:val="000000"/>
                <w:kern w:val="0"/>
                <w:highlight w:val="none"/>
              </w:rPr>
            </w:pPr>
            <w:r>
              <w:rPr>
                <w:rFonts w:hint="eastAsia" w:ascii="宋体" w:hAnsi="宋体"/>
                <w:color w:val="000000"/>
                <w:kern w:val="0"/>
                <w:highlight w:val="none"/>
                <w:lang w:eastAsia="zh-CN"/>
              </w:rPr>
              <w:t>五</w:t>
            </w:r>
            <w:r>
              <w:rPr>
                <w:rFonts w:hint="eastAsia" w:ascii="宋体" w:hAnsi="宋体"/>
                <w:color w:val="000000"/>
                <w:kern w:val="0"/>
                <w:highlight w:val="none"/>
              </w:rPr>
              <w:t>、事业收入</w:t>
            </w:r>
          </w:p>
        </w:tc>
        <w:tc>
          <w:tcPr>
            <w:tcW w:w="63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5</w:t>
            </w:r>
          </w:p>
        </w:tc>
        <w:tc>
          <w:tcPr>
            <w:tcW w:w="25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c>
          <w:tcPr>
            <w:tcW w:w="3051" w:type="dxa"/>
            <w:gridSpan w:val="3"/>
            <w:tcBorders>
              <w:top w:val="single" w:color="000000" w:sz="4" w:space="0"/>
              <w:left w:val="nil"/>
              <w:bottom w:val="single" w:color="000000" w:sz="4" w:space="0"/>
              <w:right w:val="single" w:color="000000" w:sz="4" w:space="0"/>
            </w:tcBorders>
            <w:vAlign w:val="center"/>
          </w:tcPr>
          <w:p>
            <w:pPr>
              <w:widowControl/>
              <w:jc w:val="left"/>
              <w:rPr>
                <w:rFonts w:hint="default" w:ascii="宋体"/>
                <w:color w:val="000000"/>
                <w:kern w:val="0"/>
                <w:highlight w:val="none"/>
              </w:rPr>
            </w:pPr>
            <w:r>
              <w:rPr>
                <w:rFonts w:hint="eastAsia" w:ascii="宋体" w:hAnsi="宋体"/>
                <w:color w:val="000000"/>
                <w:kern w:val="0"/>
                <w:highlight w:val="none"/>
              </w:rPr>
              <w:t>五、教育支出</w:t>
            </w:r>
          </w:p>
        </w:tc>
        <w:tc>
          <w:tcPr>
            <w:tcW w:w="10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eastAsia="宋体"/>
                <w:color w:val="000000"/>
                <w:kern w:val="0"/>
                <w:sz w:val="18"/>
                <w:szCs w:val="18"/>
                <w:highlight w:val="none"/>
                <w:lang w:eastAsia="zh-CN"/>
              </w:rPr>
            </w:pPr>
            <w:r>
              <w:rPr>
                <w:rFonts w:hint="eastAsia" w:ascii="宋体" w:hAnsi="宋体" w:eastAsia="宋体" w:cs="宋体"/>
                <w:i w:val="0"/>
                <w:color w:val="000000"/>
                <w:kern w:val="0"/>
                <w:sz w:val="18"/>
                <w:szCs w:val="18"/>
                <w:u w:val="none"/>
                <w:lang w:val="en-US" w:eastAsia="zh-CN" w:bidi="ar"/>
              </w:rPr>
              <w:t>36</w:t>
            </w:r>
          </w:p>
        </w:tc>
        <w:tc>
          <w:tcPr>
            <w:tcW w:w="281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宋体"/>
                <w:color w:val="000000"/>
                <w:kern w:val="0"/>
                <w:highlight w:val="none"/>
              </w:rPr>
            </w:pPr>
            <w:r>
              <w:rPr>
                <w:rFonts w:hint="eastAsia" w:ascii="宋体" w:hAnsi="宋体"/>
                <w:color w:val="000000"/>
                <w:kern w:val="0"/>
                <w:highlight w:val="none"/>
                <w:lang w:eastAsia="zh-CN"/>
              </w:rPr>
              <w:t>六</w:t>
            </w:r>
            <w:r>
              <w:rPr>
                <w:rFonts w:hint="eastAsia" w:ascii="宋体" w:hAnsi="宋体"/>
                <w:color w:val="000000"/>
                <w:kern w:val="0"/>
                <w:highlight w:val="none"/>
              </w:rPr>
              <w:t>、经营收入</w:t>
            </w:r>
          </w:p>
        </w:tc>
        <w:tc>
          <w:tcPr>
            <w:tcW w:w="63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6</w:t>
            </w:r>
          </w:p>
        </w:tc>
        <w:tc>
          <w:tcPr>
            <w:tcW w:w="25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c>
          <w:tcPr>
            <w:tcW w:w="3051" w:type="dxa"/>
            <w:gridSpan w:val="3"/>
            <w:tcBorders>
              <w:top w:val="single" w:color="000000" w:sz="4" w:space="0"/>
              <w:left w:val="nil"/>
              <w:bottom w:val="single" w:color="000000" w:sz="4" w:space="0"/>
              <w:right w:val="single" w:color="000000" w:sz="4" w:space="0"/>
            </w:tcBorders>
            <w:vAlign w:val="center"/>
          </w:tcPr>
          <w:p>
            <w:pPr>
              <w:widowControl/>
              <w:jc w:val="left"/>
              <w:rPr>
                <w:rFonts w:hint="default" w:ascii="宋体"/>
                <w:color w:val="000000"/>
                <w:kern w:val="0"/>
                <w:highlight w:val="none"/>
              </w:rPr>
            </w:pPr>
            <w:r>
              <w:rPr>
                <w:rFonts w:hint="eastAsia" w:ascii="宋体" w:hAnsi="宋体"/>
                <w:color w:val="000000"/>
                <w:kern w:val="0"/>
                <w:highlight w:val="none"/>
              </w:rPr>
              <w:t>六、科学技术支出</w:t>
            </w:r>
          </w:p>
        </w:tc>
        <w:tc>
          <w:tcPr>
            <w:tcW w:w="10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eastAsia="宋体"/>
                <w:color w:val="000000"/>
                <w:kern w:val="0"/>
                <w:sz w:val="18"/>
                <w:szCs w:val="18"/>
                <w:highlight w:val="none"/>
                <w:lang w:eastAsia="zh-CN"/>
              </w:rPr>
            </w:pPr>
            <w:r>
              <w:rPr>
                <w:rFonts w:hint="eastAsia" w:ascii="宋体" w:hAnsi="宋体" w:eastAsia="宋体" w:cs="宋体"/>
                <w:i w:val="0"/>
                <w:color w:val="000000"/>
                <w:kern w:val="0"/>
                <w:sz w:val="18"/>
                <w:szCs w:val="18"/>
                <w:u w:val="none"/>
                <w:lang w:val="en-US" w:eastAsia="zh-CN" w:bidi="ar"/>
              </w:rPr>
              <w:t>37</w:t>
            </w:r>
          </w:p>
        </w:tc>
        <w:tc>
          <w:tcPr>
            <w:tcW w:w="281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宋体"/>
                <w:color w:val="000000"/>
                <w:kern w:val="0"/>
                <w:highlight w:val="none"/>
              </w:rPr>
            </w:pPr>
            <w:r>
              <w:rPr>
                <w:rFonts w:hint="eastAsia" w:ascii="宋体" w:hAnsi="宋体"/>
                <w:color w:val="000000"/>
                <w:kern w:val="0"/>
                <w:highlight w:val="none"/>
                <w:lang w:eastAsia="zh-CN"/>
              </w:rPr>
              <w:t>七</w:t>
            </w:r>
            <w:r>
              <w:rPr>
                <w:rFonts w:hint="eastAsia" w:ascii="宋体" w:hAnsi="宋体"/>
                <w:color w:val="000000"/>
                <w:kern w:val="0"/>
                <w:highlight w:val="none"/>
              </w:rPr>
              <w:t>、附属单位上缴收入</w:t>
            </w:r>
          </w:p>
        </w:tc>
        <w:tc>
          <w:tcPr>
            <w:tcW w:w="63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7</w:t>
            </w:r>
          </w:p>
        </w:tc>
        <w:tc>
          <w:tcPr>
            <w:tcW w:w="25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c>
          <w:tcPr>
            <w:tcW w:w="3051" w:type="dxa"/>
            <w:gridSpan w:val="3"/>
            <w:tcBorders>
              <w:top w:val="single" w:color="000000" w:sz="4" w:space="0"/>
              <w:left w:val="nil"/>
              <w:bottom w:val="single" w:color="000000" w:sz="4" w:space="0"/>
              <w:right w:val="single" w:color="000000" w:sz="4" w:space="0"/>
            </w:tcBorders>
            <w:vAlign w:val="center"/>
          </w:tcPr>
          <w:p>
            <w:pPr>
              <w:widowControl/>
              <w:jc w:val="left"/>
              <w:rPr>
                <w:rFonts w:hint="default" w:ascii="宋体" w:hAnsi="宋体" w:eastAsia="宋体"/>
                <w:color w:val="000000"/>
                <w:kern w:val="0"/>
                <w:highlight w:val="none"/>
              </w:rPr>
            </w:pPr>
            <w:r>
              <w:rPr>
                <w:rFonts w:hint="eastAsia" w:ascii="宋体" w:hAnsi="宋体" w:eastAsia="宋体"/>
                <w:color w:val="000000"/>
                <w:kern w:val="0"/>
                <w:highlight w:val="none"/>
                <w:lang w:val="en-US" w:eastAsia="zh-CN"/>
              </w:rPr>
              <w:t>七、文化旅游体育与传媒支出</w:t>
            </w:r>
          </w:p>
        </w:tc>
        <w:tc>
          <w:tcPr>
            <w:tcW w:w="10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38</w:t>
            </w:r>
          </w:p>
        </w:tc>
        <w:tc>
          <w:tcPr>
            <w:tcW w:w="281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2,300.96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宋体"/>
                <w:color w:val="000000"/>
                <w:kern w:val="0"/>
                <w:highlight w:val="none"/>
              </w:rPr>
            </w:pPr>
            <w:r>
              <w:rPr>
                <w:rFonts w:hint="eastAsia" w:ascii="宋体" w:hAnsi="宋体"/>
                <w:color w:val="000000"/>
                <w:kern w:val="0"/>
                <w:highlight w:val="none"/>
                <w:lang w:eastAsia="zh-CN"/>
              </w:rPr>
              <w:t>八</w:t>
            </w:r>
            <w:r>
              <w:rPr>
                <w:rFonts w:hint="eastAsia" w:ascii="宋体" w:hAnsi="宋体"/>
                <w:color w:val="000000"/>
                <w:kern w:val="0"/>
                <w:highlight w:val="none"/>
              </w:rPr>
              <w:t>、其他收入</w:t>
            </w:r>
          </w:p>
        </w:tc>
        <w:tc>
          <w:tcPr>
            <w:tcW w:w="63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color w:val="000000"/>
                <w:kern w:val="0"/>
                <w:sz w:val="18"/>
                <w:szCs w:val="18"/>
                <w:highlight w:val="none"/>
                <w:shd w:val="clear" w:color="auto" w:fill="FFFFFF"/>
              </w:rPr>
            </w:pPr>
            <w:r>
              <w:rPr>
                <w:rFonts w:hint="eastAsia" w:ascii="宋体" w:hAnsi="宋体" w:eastAsia="宋体" w:cs="宋体"/>
                <w:i w:val="0"/>
                <w:color w:val="000000"/>
                <w:kern w:val="0"/>
                <w:sz w:val="18"/>
                <w:szCs w:val="18"/>
                <w:u w:val="none"/>
                <w:lang w:val="en-US" w:eastAsia="zh-CN" w:bidi="ar"/>
              </w:rPr>
              <w:t>8</w:t>
            </w:r>
          </w:p>
        </w:tc>
        <w:tc>
          <w:tcPr>
            <w:tcW w:w="25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c>
          <w:tcPr>
            <w:tcW w:w="3051" w:type="dxa"/>
            <w:gridSpan w:val="3"/>
            <w:tcBorders>
              <w:top w:val="single" w:color="000000" w:sz="4" w:space="0"/>
              <w:left w:val="nil"/>
              <w:bottom w:val="single" w:color="000000" w:sz="4" w:space="0"/>
              <w:right w:val="single" w:color="000000" w:sz="4" w:space="0"/>
            </w:tcBorders>
            <w:vAlign w:val="center"/>
          </w:tcPr>
          <w:p>
            <w:pPr>
              <w:widowControl/>
              <w:jc w:val="left"/>
              <w:rPr>
                <w:rFonts w:hint="default" w:ascii="宋体" w:hAnsi="宋体" w:eastAsia="宋体"/>
                <w:color w:val="000000"/>
                <w:kern w:val="0"/>
                <w:highlight w:val="none"/>
              </w:rPr>
            </w:pPr>
            <w:r>
              <w:rPr>
                <w:rFonts w:hint="eastAsia" w:ascii="宋体" w:hAnsi="宋体" w:eastAsia="宋体"/>
                <w:color w:val="000000"/>
                <w:kern w:val="0"/>
                <w:highlight w:val="none"/>
                <w:lang w:val="en-US" w:eastAsia="zh-CN"/>
              </w:rPr>
              <w:t>八、社会保障和就业支出</w:t>
            </w:r>
          </w:p>
        </w:tc>
        <w:tc>
          <w:tcPr>
            <w:tcW w:w="10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39</w:t>
            </w:r>
          </w:p>
        </w:tc>
        <w:tc>
          <w:tcPr>
            <w:tcW w:w="281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115.82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olor w:val="000000"/>
                <w:kern w:val="0"/>
                <w:highlight w:val="none"/>
                <w:lang w:eastAsia="zh-CN"/>
              </w:rPr>
            </w:pPr>
          </w:p>
        </w:tc>
        <w:tc>
          <w:tcPr>
            <w:tcW w:w="63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olor w:val="000000"/>
                <w:kern w:val="0"/>
                <w:sz w:val="18"/>
                <w:szCs w:val="18"/>
                <w:highlight w:val="none"/>
                <w:shd w:val="clear" w:color="auto" w:fill="FFFFFF"/>
                <w:lang w:val="en-US" w:eastAsia="zh-CN"/>
              </w:rPr>
            </w:pPr>
            <w:r>
              <w:rPr>
                <w:rFonts w:hint="eastAsia" w:ascii="宋体" w:hAnsi="宋体" w:eastAsia="宋体" w:cs="宋体"/>
                <w:i w:val="0"/>
                <w:color w:val="000000"/>
                <w:kern w:val="0"/>
                <w:sz w:val="18"/>
                <w:szCs w:val="18"/>
                <w:u w:val="none"/>
                <w:lang w:val="en-US" w:eastAsia="zh-CN" w:bidi="ar"/>
              </w:rPr>
              <w:t>9</w:t>
            </w:r>
          </w:p>
        </w:tc>
        <w:tc>
          <w:tcPr>
            <w:tcW w:w="2517" w:type="dxa"/>
            <w:tcBorders>
              <w:top w:val="single" w:color="000000" w:sz="4" w:space="0"/>
              <w:left w:val="nil"/>
              <w:bottom w:val="single" w:color="000000" w:sz="4" w:space="0"/>
              <w:right w:val="single" w:color="000000" w:sz="4" w:space="0"/>
            </w:tcBorders>
            <w:vAlign w:val="center"/>
          </w:tcPr>
          <w:p>
            <w:pPr>
              <w:widowControl/>
              <w:jc w:val="left"/>
              <w:rPr>
                <w:rFonts w:hint="default" w:ascii="宋体"/>
                <w:color w:val="000000"/>
                <w:kern w:val="0"/>
                <w:highlight w:val="none"/>
              </w:rPr>
            </w:pPr>
          </w:p>
        </w:tc>
        <w:tc>
          <w:tcPr>
            <w:tcW w:w="3051" w:type="dxa"/>
            <w:gridSpan w:val="3"/>
            <w:tcBorders>
              <w:top w:val="single" w:color="000000" w:sz="4" w:space="0"/>
              <w:left w:val="nil"/>
              <w:bottom w:val="single" w:color="000000" w:sz="4" w:space="0"/>
              <w:right w:val="single" w:color="000000" w:sz="4" w:space="0"/>
            </w:tcBorders>
            <w:vAlign w:val="center"/>
          </w:tcPr>
          <w:p>
            <w:pPr>
              <w:widowControl/>
              <w:jc w:val="left"/>
              <w:rPr>
                <w:rFonts w:hint="default" w:ascii="宋体" w:hAnsi="宋体" w:eastAsia="宋体"/>
                <w:color w:val="000000"/>
                <w:kern w:val="0"/>
                <w:highlight w:val="none"/>
              </w:rPr>
            </w:pPr>
            <w:r>
              <w:rPr>
                <w:rFonts w:hint="eastAsia" w:ascii="宋体" w:hAnsi="宋体" w:eastAsia="宋体"/>
                <w:color w:val="000000"/>
                <w:kern w:val="0"/>
                <w:highlight w:val="none"/>
                <w:lang w:val="en-US" w:eastAsia="zh-CN"/>
              </w:rPr>
              <w:t>九、卫生健康支出</w:t>
            </w:r>
          </w:p>
        </w:tc>
        <w:tc>
          <w:tcPr>
            <w:tcW w:w="10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olor w:val="000000"/>
                <w:kern w:val="0"/>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40</w:t>
            </w:r>
          </w:p>
        </w:tc>
        <w:tc>
          <w:tcPr>
            <w:tcW w:w="281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35.02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b/>
                <w:color w:val="000000"/>
                <w:kern w:val="0"/>
                <w:highlight w:val="none"/>
              </w:rPr>
            </w:pPr>
          </w:p>
        </w:tc>
        <w:tc>
          <w:tcPr>
            <w:tcW w:w="63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olor w:val="000000"/>
                <w:kern w:val="0"/>
                <w:sz w:val="18"/>
                <w:szCs w:val="18"/>
                <w:highlight w:val="none"/>
                <w:shd w:val="clear" w:color="auto" w:fill="FFFFFF"/>
                <w:lang w:val="en-US" w:eastAsia="zh-CN"/>
              </w:rPr>
            </w:pPr>
            <w:r>
              <w:rPr>
                <w:rFonts w:hint="eastAsia" w:ascii="宋体" w:hAnsi="宋体" w:eastAsia="宋体" w:cs="宋体"/>
                <w:i w:val="0"/>
                <w:color w:val="000000"/>
                <w:kern w:val="0"/>
                <w:sz w:val="18"/>
                <w:szCs w:val="18"/>
                <w:u w:val="none"/>
                <w:lang w:val="en-US" w:eastAsia="zh-CN" w:bidi="ar"/>
              </w:rPr>
              <w:t>10</w:t>
            </w:r>
          </w:p>
        </w:tc>
        <w:tc>
          <w:tcPr>
            <w:tcW w:w="25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3051" w:type="dxa"/>
            <w:gridSpan w:val="3"/>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olor w:val="000000"/>
                <w:kern w:val="0"/>
                <w:highlight w:val="none"/>
                <w:lang w:val="en-US" w:eastAsia="zh-CN"/>
              </w:rPr>
            </w:pPr>
            <w:r>
              <w:rPr>
                <w:rFonts w:hint="eastAsia" w:ascii="宋体" w:hAnsi="宋体" w:eastAsia="宋体"/>
                <w:color w:val="000000"/>
                <w:kern w:val="0"/>
                <w:highlight w:val="none"/>
                <w:lang w:val="en-US" w:eastAsia="zh-CN"/>
              </w:rPr>
              <w:t>十、节能环保支出</w:t>
            </w:r>
          </w:p>
        </w:tc>
        <w:tc>
          <w:tcPr>
            <w:tcW w:w="10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41</w:t>
            </w:r>
          </w:p>
        </w:tc>
        <w:tc>
          <w:tcPr>
            <w:tcW w:w="281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b/>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b/>
                <w:color w:val="000000"/>
                <w:kern w:val="0"/>
                <w:highlight w:val="none"/>
              </w:rPr>
            </w:pPr>
          </w:p>
        </w:tc>
        <w:tc>
          <w:tcPr>
            <w:tcW w:w="63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olor w:val="000000"/>
                <w:kern w:val="0"/>
                <w:sz w:val="18"/>
                <w:szCs w:val="18"/>
                <w:highlight w:val="none"/>
                <w:shd w:val="clear" w:color="auto" w:fill="FFFFFF"/>
                <w:lang w:val="en-US" w:eastAsia="zh-CN"/>
              </w:rPr>
            </w:pPr>
            <w:r>
              <w:rPr>
                <w:rFonts w:hint="eastAsia" w:ascii="宋体" w:hAnsi="宋体" w:eastAsia="宋体" w:cs="宋体"/>
                <w:i w:val="0"/>
                <w:color w:val="000000"/>
                <w:kern w:val="0"/>
                <w:sz w:val="18"/>
                <w:szCs w:val="18"/>
                <w:u w:val="none"/>
                <w:lang w:val="en-US" w:eastAsia="zh-CN" w:bidi="ar"/>
              </w:rPr>
              <w:t>11</w:t>
            </w:r>
          </w:p>
        </w:tc>
        <w:tc>
          <w:tcPr>
            <w:tcW w:w="25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3051" w:type="dxa"/>
            <w:gridSpan w:val="3"/>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olor w:val="000000"/>
                <w:kern w:val="0"/>
                <w:highlight w:val="none"/>
                <w:lang w:val="en-US" w:eastAsia="zh-CN"/>
              </w:rPr>
            </w:pPr>
            <w:r>
              <w:rPr>
                <w:rFonts w:hint="eastAsia" w:ascii="宋体" w:hAnsi="宋体" w:eastAsia="宋体"/>
                <w:color w:val="000000"/>
                <w:kern w:val="0"/>
                <w:highlight w:val="none"/>
                <w:lang w:val="en-US" w:eastAsia="zh-CN"/>
              </w:rPr>
              <w:t>十一、城乡社区支出</w:t>
            </w:r>
          </w:p>
        </w:tc>
        <w:tc>
          <w:tcPr>
            <w:tcW w:w="10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42</w:t>
            </w:r>
          </w:p>
        </w:tc>
        <w:tc>
          <w:tcPr>
            <w:tcW w:w="281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b/>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b/>
                <w:color w:val="000000"/>
                <w:kern w:val="0"/>
                <w:highlight w:val="none"/>
              </w:rPr>
            </w:pPr>
          </w:p>
        </w:tc>
        <w:tc>
          <w:tcPr>
            <w:tcW w:w="63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olor w:val="000000"/>
                <w:kern w:val="0"/>
                <w:sz w:val="18"/>
                <w:szCs w:val="18"/>
                <w:highlight w:val="none"/>
                <w:shd w:val="clear" w:color="auto" w:fill="FFFFFF"/>
                <w:lang w:val="en-US" w:eastAsia="zh-CN"/>
              </w:rPr>
            </w:pPr>
            <w:r>
              <w:rPr>
                <w:rFonts w:hint="eastAsia" w:ascii="宋体" w:hAnsi="宋体" w:eastAsia="宋体" w:cs="宋体"/>
                <w:i w:val="0"/>
                <w:color w:val="000000"/>
                <w:kern w:val="0"/>
                <w:sz w:val="18"/>
                <w:szCs w:val="18"/>
                <w:u w:val="none"/>
                <w:lang w:val="en-US" w:eastAsia="zh-CN" w:bidi="ar"/>
              </w:rPr>
              <w:t>12</w:t>
            </w:r>
          </w:p>
        </w:tc>
        <w:tc>
          <w:tcPr>
            <w:tcW w:w="25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3051" w:type="dxa"/>
            <w:gridSpan w:val="3"/>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olor w:val="000000"/>
                <w:kern w:val="0"/>
                <w:highlight w:val="none"/>
                <w:lang w:val="en-US" w:eastAsia="zh-CN"/>
              </w:rPr>
            </w:pPr>
            <w:r>
              <w:rPr>
                <w:rFonts w:hint="eastAsia" w:ascii="宋体" w:hAnsi="宋体" w:eastAsia="宋体"/>
                <w:color w:val="000000"/>
                <w:kern w:val="0"/>
                <w:highlight w:val="none"/>
                <w:lang w:val="en-US" w:eastAsia="zh-CN"/>
              </w:rPr>
              <w:t>十二、农林水支出</w:t>
            </w:r>
          </w:p>
        </w:tc>
        <w:tc>
          <w:tcPr>
            <w:tcW w:w="10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43</w:t>
            </w:r>
          </w:p>
        </w:tc>
        <w:tc>
          <w:tcPr>
            <w:tcW w:w="281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b/>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b/>
                <w:color w:val="000000"/>
                <w:kern w:val="0"/>
                <w:highlight w:val="none"/>
              </w:rPr>
            </w:pPr>
          </w:p>
        </w:tc>
        <w:tc>
          <w:tcPr>
            <w:tcW w:w="63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olor w:val="000000"/>
                <w:kern w:val="0"/>
                <w:sz w:val="18"/>
                <w:szCs w:val="18"/>
                <w:highlight w:val="none"/>
                <w:shd w:val="clear" w:color="auto" w:fill="FFFFFF"/>
                <w:lang w:val="en-US" w:eastAsia="zh-CN"/>
              </w:rPr>
            </w:pPr>
            <w:r>
              <w:rPr>
                <w:rFonts w:hint="eastAsia" w:ascii="宋体" w:hAnsi="宋体" w:eastAsia="宋体" w:cs="宋体"/>
                <w:i w:val="0"/>
                <w:color w:val="000000"/>
                <w:kern w:val="0"/>
                <w:sz w:val="18"/>
                <w:szCs w:val="18"/>
                <w:u w:val="none"/>
                <w:lang w:val="en-US" w:eastAsia="zh-CN" w:bidi="ar"/>
              </w:rPr>
              <w:t>13</w:t>
            </w:r>
          </w:p>
        </w:tc>
        <w:tc>
          <w:tcPr>
            <w:tcW w:w="25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3051" w:type="dxa"/>
            <w:gridSpan w:val="3"/>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olor w:val="000000"/>
                <w:kern w:val="0"/>
                <w:highlight w:val="none"/>
                <w:lang w:val="en-US" w:eastAsia="zh-CN"/>
              </w:rPr>
            </w:pPr>
            <w:r>
              <w:rPr>
                <w:rFonts w:hint="eastAsia" w:ascii="宋体" w:hAnsi="宋体" w:eastAsia="宋体"/>
                <w:color w:val="000000"/>
                <w:kern w:val="0"/>
                <w:highlight w:val="none"/>
                <w:lang w:val="en-US" w:eastAsia="zh-CN"/>
              </w:rPr>
              <w:t>十三、交通运输支出</w:t>
            </w:r>
          </w:p>
        </w:tc>
        <w:tc>
          <w:tcPr>
            <w:tcW w:w="10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44</w:t>
            </w:r>
          </w:p>
        </w:tc>
        <w:tc>
          <w:tcPr>
            <w:tcW w:w="281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b/>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b/>
                <w:color w:val="000000"/>
                <w:kern w:val="0"/>
                <w:highlight w:val="none"/>
              </w:rPr>
            </w:pPr>
          </w:p>
        </w:tc>
        <w:tc>
          <w:tcPr>
            <w:tcW w:w="63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olor w:val="000000"/>
                <w:kern w:val="0"/>
                <w:sz w:val="18"/>
                <w:szCs w:val="18"/>
                <w:highlight w:val="none"/>
                <w:shd w:val="clear" w:color="auto" w:fill="FFFFFF"/>
                <w:lang w:val="en-US" w:eastAsia="zh-CN"/>
              </w:rPr>
            </w:pPr>
            <w:r>
              <w:rPr>
                <w:rFonts w:hint="eastAsia" w:ascii="宋体" w:hAnsi="宋体" w:eastAsia="宋体" w:cs="宋体"/>
                <w:i w:val="0"/>
                <w:color w:val="000000"/>
                <w:kern w:val="0"/>
                <w:sz w:val="18"/>
                <w:szCs w:val="18"/>
                <w:u w:val="none"/>
                <w:lang w:val="en-US" w:eastAsia="zh-CN" w:bidi="ar"/>
              </w:rPr>
              <w:t>14</w:t>
            </w:r>
          </w:p>
        </w:tc>
        <w:tc>
          <w:tcPr>
            <w:tcW w:w="25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3051" w:type="dxa"/>
            <w:gridSpan w:val="3"/>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olor w:val="000000"/>
                <w:kern w:val="0"/>
                <w:highlight w:val="none"/>
                <w:lang w:val="en-US" w:eastAsia="zh-CN"/>
              </w:rPr>
            </w:pPr>
            <w:r>
              <w:rPr>
                <w:rFonts w:hint="eastAsia" w:ascii="宋体" w:hAnsi="宋体" w:eastAsia="宋体"/>
                <w:color w:val="000000"/>
                <w:kern w:val="0"/>
                <w:highlight w:val="none"/>
                <w:lang w:val="en-US" w:eastAsia="zh-CN"/>
              </w:rPr>
              <w:t>十四、资源勘探工业信息等支出</w:t>
            </w:r>
          </w:p>
        </w:tc>
        <w:tc>
          <w:tcPr>
            <w:tcW w:w="10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45</w:t>
            </w:r>
          </w:p>
        </w:tc>
        <w:tc>
          <w:tcPr>
            <w:tcW w:w="281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b/>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b/>
                <w:color w:val="000000"/>
                <w:kern w:val="0"/>
                <w:highlight w:val="none"/>
              </w:rPr>
            </w:pPr>
          </w:p>
        </w:tc>
        <w:tc>
          <w:tcPr>
            <w:tcW w:w="63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olor w:val="000000"/>
                <w:kern w:val="0"/>
                <w:sz w:val="18"/>
                <w:szCs w:val="18"/>
                <w:highlight w:val="none"/>
                <w:shd w:val="clear" w:color="auto" w:fill="FFFFFF"/>
                <w:lang w:val="en-US" w:eastAsia="zh-CN"/>
              </w:rPr>
            </w:pPr>
            <w:r>
              <w:rPr>
                <w:rFonts w:hint="eastAsia" w:ascii="宋体" w:hAnsi="宋体" w:eastAsia="宋体" w:cs="宋体"/>
                <w:i w:val="0"/>
                <w:color w:val="000000"/>
                <w:kern w:val="0"/>
                <w:sz w:val="18"/>
                <w:szCs w:val="18"/>
                <w:u w:val="none"/>
                <w:lang w:val="en-US" w:eastAsia="zh-CN" w:bidi="ar"/>
              </w:rPr>
              <w:t>15</w:t>
            </w:r>
          </w:p>
        </w:tc>
        <w:tc>
          <w:tcPr>
            <w:tcW w:w="25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3051" w:type="dxa"/>
            <w:gridSpan w:val="3"/>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olor w:val="000000"/>
                <w:kern w:val="0"/>
                <w:highlight w:val="none"/>
                <w:lang w:val="en-US" w:eastAsia="zh-CN"/>
              </w:rPr>
            </w:pPr>
            <w:r>
              <w:rPr>
                <w:rFonts w:hint="eastAsia" w:ascii="宋体" w:hAnsi="宋体" w:eastAsia="宋体"/>
                <w:color w:val="000000"/>
                <w:kern w:val="0"/>
                <w:highlight w:val="none"/>
                <w:lang w:val="en-US" w:eastAsia="zh-CN"/>
              </w:rPr>
              <w:t>十五、商业服务业等支出</w:t>
            </w:r>
          </w:p>
        </w:tc>
        <w:tc>
          <w:tcPr>
            <w:tcW w:w="10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46</w:t>
            </w:r>
          </w:p>
        </w:tc>
        <w:tc>
          <w:tcPr>
            <w:tcW w:w="281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b/>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b/>
                <w:color w:val="000000"/>
                <w:kern w:val="0"/>
                <w:highlight w:val="none"/>
              </w:rPr>
            </w:pPr>
          </w:p>
        </w:tc>
        <w:tc>
          <w:tcPr>
            <w:tcW w:w="63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olor w:val="000000"/>
                <w:kern w:val="0"/>
                <w:sz w:val="18"/>
                <w:szCs w:val="18"/>
                <w:highlight w:val="none"/>
                <w:shd w:val="clear" w:color="auto" w:fill="FFFFFF"/>
                <w:lang w:val="en-US" w:eastAsia="zh-CN"/>
              </w:rPr>
            </w:pPr>
            <w:r>
              <w:rPr>
                <w:rFonts w:hint="eastAsia" w:ascii="宋体" w:hAnsi="宋体" w:eastAsia="宋体" w:cs="宋体"/>
                <w:i w:val="0"/>
                <w:color w:val="000000"/>
                <w:kern w:val="0"/>
                <w:sz w:val="18"/>
                <w:szCs w:val="18"/>
                <w:u w:val="none"/>
                <w:lang w:val="en-US" w:eastAsia="zh-CN" w:bidi="ar"/>
              </w:rPr>
              <w:t>16</w:t>
            </w:r>
          </w:p>
        </w:tc>
        <w:tc>
          <w:tcPr>
            <w:tcW w:w="25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3051" w:type="dxa"/>
            <w:gridSpan w:val="3"/>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olor w:val="000000"/>
                <w:kern w:val="0"/>
                <w:highlight w:val="none"/>
                <w:lang w:val="en-US" w:eastAsia="zh-CN"/>
              </w:rPr>
            </w:pPr>
            <w:r>
              <w:rPr>
                <w:rFonts w:hint="eastAsia" w:ascii="宋体" w:hAnsi="宋体" w:eastAsia="宋体"/>
                <w:color w:val="000000"/>
                <w:kern w:val="0"/>
                <w:highlight w:val="none"/>
                <w:lang w:val="en-US" w:eastAsia="zh-CN"/>
              </w:rPr>
              <w:t>十六、金融支出</w:t>
            </w:r>
          </w:p>
        </w:tc>
        <w:tc>
          <w:tcPr>
            <w:tcW w:w="10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47</w:t>
            </w:r>
          </w:p>
        </w:tc>
        <w:tc>
          <w:tcPr>
            <w:tcW w:w="281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b/>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b/>
                <w:color w:val="000000"/>
                <w:kern w:val="0"/>
                <w:highlight w:val="none"/>
              </w:rPr>
            </w:pPr>
          </w:p>
        </w:tc>
        <w:tc>
          <w:tcPr>
            <w:tcW w:w="63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olor w:val="000000"/>
                <w:kern w:val="0"/>
                <w:sz w:val="18"/>
                <w:szCs w:val="18"/>
                <w:highlight w:val="none"/>
                <w:shd w:val="clear" w:color="auto" w:fill="FFFFFF"/>
                <w:lang w:val="en-US" w:eastAsia="zh-CN"/>
              </w:rPr>
            </w:pPr>
            <w:r>
              <w:rPr>
                <w:rFonts w:hint="eastAsia" w:ascii="宋体" w:hAnsi="宋体" w:eastAsia="宋体" w:cs="宋体"/>
                <w:i w:val="0"/>
                <w:color w:val="000000"/>
                <w:kern w:val="0"/>
                <w:sz w:val="18"/>
                <w:szCs w:val="18"/>
                <w:u w:val="none"/>
                <w:lang w:val="en-US" w:eastAsia="zh-CN" w:bidi="ar"/>
              </w:rPr>
              <w:t>17</w:t>
            </w:r>
          </w:p>
        </w:tc>
        <w:tc>
          <w:tcPr>
            <w:tcW w:w="25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3051" w:type="dxa"/>
            <w:gridSpan w:val="3"/>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olor w:val="000000"/>
                <w:kern w:val="0"/>
                <w:highlight w:val="none"/>
                <w:lang w:val="en-US" w:eastAsia="zh-CN"/>
              </w:rPr>
            </w:pPr>
            <w:r>
              <w:rPr>
                <w:rFonts w:hint="eastAsia" w:ascii="宋体" w:hAnsi="宋体" w:eastAsia="宋体"/>
                <w:color w:val="000000"/>
                <w:kern w:val="0"/>
                <w:highlight w:val="none"/>
                <w:lang w:val="en-US" w:eastAsia="zh-CN"/>
              </w:rPr>
              <w:t>十七、援助其他地区支出</w:t>
            </w:r>
          </w:p>
        </w:tc>
        <w:tc>
          <w:tcPr>
            <w:tcW w:w="10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48</w:t>
            </w:r>
          </w:p>
        </w:tc>
        <w:tc>
          <w:tcPr>
            <w:tcW w:w="281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b/>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b/>
                <w:color w:val="000000"/>
                <w:kern w:val="0"/>
                <w:highlight w:val="none"/>
              </w:rPr>
            </w:pPr>
          </w:p>
        </w:tc>
        <w:tc>
          <w:tcPr>
            <w:tcW w:w="63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olor w:val="000000"/>
                <w:kern w:val="0"/>
                <w:sz w:val="18"/>
                <w:szCs w:val="18"/>
                <w:highlight w:val="none"/>
                <w:shd w:val="clear" w:color="auto" w:fill="FFFFFF"/>
                <w:lang w:val="en-US" w:eastAsia="zh-CN"/>
              </w:rPr>
            </w:pPr>
            <w:r>
              <w:rPr>
                <w:rFonts w:hint="eastAsia" w:ascii="宋体" w:hAnsi="宋体" w:eastAsia="宋体" w:cs="宋体"/>
                <w:i w:val="0"/>
                <w:color w:val="000000"/>
                <w:kern w:val="0"/>
                <w:sz w:val="18"/>
                <w:szCs w:val="18"/>
                <w:u w:val="none"/>
                <w:lang w:val="en-US" w:eastAsia="zh-CN" w:bidi="ar"/>
              </w:rPr>
              <w:t>18</w:t>
            </w:r>
          </w:p>
        </w:tc>
        <w:tc>
          <w:tcPr>
            <w:tcW w:w="25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3051" w:type="dxa"/>
            <w:gridSpan w:val="3"/>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olor w:val="000000"/>
                <w:kern w:val="0"/>
                <w:highlight w:val="none"/>
                <w:lang w:val="en-US" w:eastAsia="zh-CN"/>
              </w:rPr>
            </w:pPr>
            <w:r>
              <w:rPr>
                <w:rFonts w:hint="eastAsia" w:ascii="宋体" w:hAnsi="宋体" w:eastAsia="宋体"/>
                <w:color w:val="000000"/>
                <w:kern w:val="0"/>
                <w:highlight w:val="none"/>
                <w:lang w:val="en-US" w:eastAsia="zh-CN"/>
              </w:rPr>
              <w:t>十八、自然资源海洋气象等支出</w:t>
            </w:r>
          </w:p>
        </w:tc>
        <w:tc>
          <w:tcPr>
            <w:tcW w:w="10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49</w:t>
            </w:r>
          </w:p>
        </w:tc>
        <w:tc>
          <w:tcPr>
            <w:tcW w:w="281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b/>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b/>
                <w:color w:val="000000"/>
                <w:kern w:val="0"/>
                <w:highlight w:val="none"/>
              </w:rPr>
            </w:pPr>
          </w:p>
        </w:tc>
        <w:tc>
          <w:tcPr>
            <w:tcW w:w="63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olor w:val="000000"/>
                <w:kern w:val="0"/>
                <w:sz w:val="18"/>
                <w:szCs w:val="18"/>
                <w:highlight w:val="none"/>
                <w:shd w:val="clear" w:color="auto" w:fill="FFFFFF"/>
                <w:lang w:val="en-US" w:eastAsia="zh-CN"/>
              </w:rPr>
            </w:pPr>
            <w:r>
              <w:rPr>
                <w:rFonts w:hint="eastAsia" w:ascii="宋体" w:hAnsi="宋体" w:eastAsia="宋体" w:cs="宋体"/>
                <w:i w:val="0"/>
                <w:color w:val="000000"/>
                <w:kern w:val="0"/>
                <w:sz w:val="18"/>
                <w:szCs w:val="18"/>
                <w:u w:val="none"/>
                <w:lang w:val="en-US" w:eastAsia="zh-CN" w:bidi="ar"/>
              </w:rPr>
              <w:t>19</w:t>
            </w:r>
          </w:p>
        </w:tc>
        <w:tc>
          <w:tcPr>
            <w:tcW w:w="25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3051" w:type="dxa"/>
            <w:gridSpan w:val="3"/>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olor w:val="000000"/>
                <w:kern w:val="0"/>
                <w:highlight w:val="none"/>
                <w:lang w:val="en-US" w:eastAsia="zh-CN"/>
              </w:rPr>
            </w:pPr>
            <w:r>
              <w:rPr>
                <w:rFonts w:hint="eastAsia" w:ascii="宋体" w:hAnsi="宋体" w:eastAsia="宋体"/>
                <w:color w:val="000000"/>
                <w:kern w:val="0"/>
                <w:highlight w:val="none"/>
                <w:lang w:val="en-US" w:eastAsia="zh-CN"/>
              </w:rPr>
              <w:t>十九、住房保障支出</w:t>
            </w:r>
          </w:p>
        </w:tc>
        <w:tc>
          <w:tcPr>
            <w:tcW w:w="10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50</w:t>
            </w:r>
          </w:p>
        </w:tc>
        <w:tc>
          <w:tcPr>
            <w:tcW w:w="281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b/>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119.70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b/>
                <w:color w:val="000000"/>
                <w:kern w:val="0"/>
                <w:highlight w:val="none"/>
              </w:rPr>
            </w:pPr>
          </w:p>
        </w:tc>
        <w:tc>
          <w:tcPr>
            <w:tcW w:w="63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olor w:val="000000"/>
                <w:kern w:val="0"/>
                <w:sz w:val="18"/>
                <w:szCs w:val="18"/>
                <w:highlight w:val="none"/>
                <w:shd w:val="clear" w:color="auto" w:fill="FFFFFF"/>
                <w:lang w:val="en-US" w:eastAsia="zh-CN"/>
              </w:rPr>
            </w:pPr>
            <w:r>
              <w:rPr>
                <w:rFonts w:hint="eastAsia" w:ascii="宋体" w:hAnsi="宋体" w:eastAsia="宋体" w:cs="宋体"/>
                <w:i w:val="0"/>
                <w:color w:val="000000"/>
                <w:kern w:val="0"/>
                <w:sz w:val="18"/>
                <w:szCs w:val="18"/>
                <w:u w:val="none"/>
                <w:lang w:val="en-US" w:eastAsia="zh-CN" w:bidi="ar"/>
              </w:rPr>
              <w:t>20</w:t>
            </w:r>
          </w:p>
        </w:tc>
        <w:tc>
          <w:tcPr>
            <w:tcW w:w="25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3051" w:type="dxa"/>
            <w:gridSpan w:val="3"/>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olor w:val="000000"/>
                <w:kern w:val="0"/>
                <w:highlight w:val="none"/>
                <w:lang w:val="en-US" w:eastAsia="zh-CN"/>
              </w:rPr>
            </w:pPr>
            <w:r>
              <w:rPr>
                <w:rFonts w:hint="eastAsia" w:ascii="宋体" w:hAnsi="宋体" w:eastAsia="宋体"/>
                <w:color w:val="000000"/>
                <w:kern w:val="0"/>
                <w:highlight w:val="none"/>
                <w:lang w:val="en-US" w:eastAsia="zh-CN"/>
              </w:rPr>
              <w:t>二十、粮油物资储备支出</w:t>
            </w:r>
          </w:p>
        </w:tc>
        <w:tc>
          <w:tcPr>
            <w:tcW w:w="10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51</w:t>
            </w:r>
          </w:p>
        </w:tc>
        <w:tc>
          <w:tcPr>
            <w:tcW w:w="281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b/>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b/>
                <w:color w:val="000000"/>
                <w:kern w:val="0"/>
                <w:highlight w:val="none"/>
              </w:rPr>
            </w:pPr>
          </w:p>
        </w:tc>
        <w:tc>
          <w:tcPr>
            <w:tcW w:w="63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olor w:val="000000"/>
                <w:kern w:val="0"/>
                <w:sz w:val="18"/>
                <w:szCs w:val="18"/>
                <w:highlight w:val="none"/>
                <w:shd w:val="clear" w:color="auto" w:fill="FFFFFF"/>
                <w:lang w:val="en-US" w:eastAsia="zh-CN"/>
              </w:rPr>
            </w:pPr>
            <w:r>
              <w:rPr>
                <w:rFonts w:hint="eastAsia" w:ascii="宋体" w:hAnsi="宋体" w:eastAsia="宋体" w:cs="宋体"/>
                <w:i w:val="0"/>
                <w:color w:val="000000"/>
                <w:kern w:val="0"/>
                <w:sz w:val="18"/>
                <w:szCs w:val="18"/>
                <w:u w:val="none"/>
                <w:lang w:val="en-US" w:eastAsia="zh-CN" w:bidi="ar"/>
              </w:rPr>
              <w:t>21</w:t>
            </w:r>
          </w:p>
        </w:tc>
        <w:tc>
          <w:tcPr>
            <w:tcW w:w="25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3051" w:type="dxa"/>
            <w:gridSpan w:val="3"/>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olor w:val="000000"/>
                <w:kern w:val="0"/>
                <w:highlight w:val="none"/>
                <w:lang w:val="en-US" w:eastAsia="zh-CN"/>
              </w:rPr>
            </w:pPr>
            <w:r>
              <w:rPr>
                <w:rFonts w:hint="eastAsia" w:ascii="宋体" w:hAnsi="宋体" w:eastAsia="宋体"/>
                <w:color w:val="000000"/>
                <w:kern w:val="0"/>
                <w:highlight w:val="none"/>
                <w:lang w:val="en-US" w:eastAsia="zh-CN"/>
              </w:rPr>
              <w:t>二十一、国有资本经营预算支出</w:t>
            </w:r>
          </w:p>
        </w:tc>
        <w:tc>
          <w:tcPr>
            <w:tcW w:w="10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52</w:t>
            </w:r>
          </w:p>
        </w:tc>
        <w:tc>
          <w:tcPr>
            <w:tcW w:w="281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b/>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b/>
                <w:color w:val="000000"/>
                <w:kern w:val="0"/>
                <w:highlight w:val="none"/>
              </w:rPr>
            </w:pPr>
          </w:p>
        </w:tc>
        <w:tc>
          <w:tcPr>
            <w:tcW w:w="63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olor w:val="000000"/>
                <w:kern w:val="0"/>
                <w:sz w:val="18"/>
                <w:szCs w:val="18"/>
                <w:highlight w:val="none"/>
                <w:shd w:val="clear" w:color="auto" w:fill="FFFFFF"/>
                <w:lang w:val="en-US" w:eastAsia="zh-CN"/>
              </w:rPr>
            </w:pPr>
            <w:r>
              <w:rPr>
                <w:rFonts w:hint="eastAsia" w:ascii="宋体" w:hAnsi="宋体" w:eastAsia="宋体" w:cs="宋体"/>
                <w:i w:val="0"/>
                <w:color w:val="000000"/>
                <w:kern w:val="0"/>
                <w:sz w:val="18"/>
                <w:szCs w:val="18"/>
                <w:u w:val="none"/>
                <w:lang w:val="en-US" w:eastAsia="zh-CN" w:bidi="ar"/>
              </w:rPr>
              <w:t>22</w:t>
            </w:r>
          </w:p>
        </w:tc>
        <w:tc>
          <w:tcPr>
            <w:tcW w:w="25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3051" w:type="dxa"/>
            <w:gridSpan w:val="3"/>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olor w:val="000000"/>
                <w:kern w:val="0"/>
                <w:highlight w:val="none"/>
                <w:lang w:val="en-US" w:eastAsia="zh-CN"/>
              </w:rPr>
            </w:pPr>
            <w:r>
              <w:rPr>
                <w:rFonts w:hint="eastAsia" w:ascii="宋体" w:hAnsi="宋体" w:eastAsia="宋体"/>
                <w:color w:val="000000"/>
                <w:kern w:val="0"/>
                <w:highlight w:val="none"/>
                <w:lang w:val="en-US" w:eastAsia="zh-CN"/>
              </w:rPr>
              <w:t>二十二、灾害防治及应急管理支出</w:t>
            </w:r>
          </w:p>
        </w:tc>
        <w:tc>
          <w:tcPr>
            <w:tcW w:w="10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53</w:t>
            </w:r>
          </w:p>
        </w:tc>
        <w:tc>
          <w:tcPr>
            <w:tcW w:w="281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b/>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b/>
                <w:color w:val="000000"/>
                <w:kern w:val="0"/>
                <w:highlight w:val="none"/>
              </w:rPr>
            </w:pPr>
          </w:p>
        </w:tc>
        <w:tc>
          <w:tcPr>
            <w:tcW w:w="63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olor w:val="000000"/>
                <w:kern w:val="0"/>
                <w:sz w:val="18"/>
                <w:szCs w:val="18"/>
                <w:highlight w:val="none"/>
                <w:shd w:val="clear" w:color="auto" w:fill="FFFFFF"/>
                <w:lang w:val="en-US" w:eastAsia="zh-CN"/>
              </w:rPr>
            </w:pPr>
            <w:r>
              <w:rPr>
                <w:rFonts w:hint="eastAsia" w:ascii="宋体" w:hAnsi="宋体" w:eastAsia="宋体" w:cs="宋体"/>
                <w:i w:val="0"/>
                <w:color w:val="000000"/>
                <w:kern w:val="0"/>
                <w:sz w:val="18"/>
                <w:szCs w:val="18"/>
                <w:u w:val="none"/>
                <w:lang w:val="en-US" w:eastAsia="zh-CN" w:bidi="ar"/>
              </w:rPr>
              <w:t>23</w:t>
            </w:r>
          </w:p>
        </w:tc>
        <w:tc>
          <w:tcPr>
            <w:tcW w:w="25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3051" w:type="dxa"/>
            <w:gridSpan w:val="3"/>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olor w:val="000000"/>
                <w:kern w:val="0"/>
                <w:highlight w:val="none"/>
                <w:lang w:val="en-US" w:eastAsia="zh-CN"/>
              </w:rPr>
            </w:pPr>
            <w:r>
              <w:rPr>
                <w:rFonts w:hint="eastAsia" w:ascii="宋体" w:hAnsi="宋体" w:eastAsia="宋体"/>
                <w:color w:val="000000"/>
                <w:kern w:val="0"/>
                <w:highlight w:val="none"/>
                <w:lang w:val="en-US" w:eastAsia="zh-CN"/>
              </w:rPr>
              <w:t>二十三、其他支出</w:t>
            </w:r>
          </w:p>
        </w:tc>
        <w:tc>
          <w:tcPr>
            <w:tcW w:w="10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54</w:t>
            </w:r>
          </w:p>
        </w:tc>
        <w:tc>
          <w:tcPr>
            <w:tcW w:w="281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b/>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3,185.14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b/>
                <w:color w:val="000000"/>
                <w:kern w:val="0"/>
                <w:highlight w:val="none"/>
              </w:rPr>
            </w:pPr>
          </w:p>
        </w:tc>
        <w:tc>
          <w:tcPr>
            <w:tcW w:w="63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olor w:val="000000"/>
                <w:kern w:val="0"/>
                <w:sz w:val="18"/>
                <w:szCs w:val="18"/>
                <w:highlight w:val="none"/>
                <w:shd w:val="clear" w:color="auto" w:fill="FFFFFF"/>
                <w:lang w:val="en-US" w:eastAsia="zh-CN"/>
              </w:rPr>
            </w:pPr>
            <w:r>
              <w:rPr>
                <w:rFonts w:hint="eastAsia" w:ascii="宋体" w:hAnsi="宋体" w:eastAsia="宋体" w:cs="宋体"/>
                <w:i w:val="0"/>
                <w:color w:val="000000"/>
                <w:kern w:val="0"/>
                <w:sz w:val="18"/>
                <w:szCs w:val="18"/>
                <w:u w:val="none"/>
                <w:lang w:val="en-US" w:eastAsia="zh-CN" w:bidi="ar"/>
              </w:rPr>
              <w:t>24</w:t>
            </w:r>
          </w:p>
        </w:tc>
        <w:tc>
          <w:tcPr>
            <w:tcW w:w="25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3051" w:type="dxa"/>
            <w:gridSpan w:val="3"/>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olor w:val="000000"/>
                <w:kern w:val="0"/>
                <w:highlight w:val="none"/>
                <w:lang w:val="en-US" w:eastAsia="zh-CN"/>
              </w:rPr>
            </w:pPr>
            <w:r>
              <w:rPr>
                <w:rFonts w:hint="eastAsia" w:ascii="宋体" w:hAnsi="宋体" w:eastAsia="宋体"/>
                <w:color w:val="000000"/>
                <w:kern w:val="0"/>
                <w:highlight w:val="none"/>
                <w:lang w:val="en-US" w:eastAsia="zh-CN"/>
              </w:rPr>
              <w:t>二十四、债务还本支出</w:t>
            </w:r>
          </w:p>
        </w:tc>
        <w:tc>
          <w:tcPr>
            <w:tcW w:w="10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55</w:t>
            </w:r>
          </w:p>
        </w:tc>
        <w:tc>
          <w:tcPr>
            <w:tcW w:w="281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b/>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b/>
                <w:color w:val="000000"/>
                <w:kern w:val="0"/>
                <w:highlight w:val="none"/>
              </w:rPr>
            </w:pPr>
          </w:p>
        </w:tc>
        <w:tc>
          <w:tcPr>
            <w:tcW w:w="63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olor w:val="000000"/>
                <w:kern w:val="0"/>
                <w:sz w:val="18"/>
                <w:szCs w:val="18"/>
                <w:highlight w:val="none"/>
                <w:shd w:val="clear" w:color="auto" w:fill="FFFFFF"/>
                <w:lang w:val="en-US" w:eastAsia="zh-CN"/>
              </w:rPr>
            </w:pPr>
            <w:r>
              <w:rPr>
                <w:rFonts w:hint="eastAsia" w:ascii="宋体" w:hAnsi="宋体" w:eastAsia="宋体" w:cs="宋体"/>
                <w:i w:val="0"/>
                <w:color w:val="000000"/>
                <w:kern w:val="0"/>
                <w:sz w:val="18"/>
                <w:szCs w:val="18"/>
                <w:u w:val="none"/>
                <w:lang w:val="en-US" w:eastAsia="zh-CN" w:bidi="ar"/>
              </w:rPr>
              <w:t>25</w:t>
            </w:r>
          </w:p>
        </w:tc>
        <w:tc>
          <w:tcPr>
            <w:tcW w:w="25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3051" w:type="dxa"/>
            <w:gridSpan w:val="3"/>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olor w:val="000000"/>
                <w:kern w:val="0"/>
                <w:highlight w:val="none"/>
                <w:lang w:val="en-US" w:eastAsia="zh-CN"/>
              </w:rPr>
            </w:pPr>
            <w:r>
              <w:rPr>
                <w:rFonts w:hint="eastAsia" w:ascii="宋体" w:hAnsi="宋体" w:eastAsia="宋体"/>
                <w:color w:val="000000"/>
                <w:kern w:val="0"/>
                <w:highlight w:val="none"/>
                <w:lang w:val="en-US" w:eastAsia="zh-CN"/>
              </w:rPr>
              <w:t>二十五、债务付息支出</w:t>
            </w:r>
          </w:p>
        </w:tc>
        <w:tc>
          <w:tcPr>
            <w:tcW w:w="10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56</w:t>
            </w:r>
          </w:p>
        </w:tc>
        <w:tc>
          <w:tcPr>
            <w:tcW w:w="281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b/>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b/>
                <w:color w:val="000000"/>
                <w:kern w:val="0"/>
                <w:highlight w:val="none"/>
              </w:rPr>
            </w:pPr>
          </w:p>
        </w:tc>
        <w:tc>
          <w:tcPr>
            <w:tcW w:w="63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color w:val="000000"/>
                <w:kern w:val="0"/>
                <w:sz w:val="18"/>
                <w:szCs w:val="18"/>
                <w:highlight w:val="none"/>
                <w:shd w:val="clear" w:color="auto" w:fill="FFFFFF"/>
                <w:lang w:val="en-US" w:eastAsia="zh-CN"/>
              </w:rPr>
            </w:pPr>
            <w:r>
              <w:rPr>
                <w:rFonts w:hint="eastAsia" w:ascii="宋体" w:hAnsi="宋体" w:eastAsia="宋体" w:cs="宋体"/>
                <w:i w:val="0"/>
                <w:color w:val="000000"/>
                <w:kern w:val="0"/>
                <w:sz w:val="18"/>
                <w:szCs w:val="18"/>
                <w:u w:val="none"/>
                <w:lang w:val="en-US" w:eastAsia="zh-CN" w:bidi="ar"/>
              </w:rPr>
              <w:t>26</w:t>
            </w:r>
          </w:p>
        </w:tc>
        <w:tc>
          <w:tcPr>
            <w:tcW w:w="25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p>
        </w:tc>
        <w:tc>
          <w:tcPr>
            <w:tcW w:w="3051" w:type="dxa"/>
            <w:gridSpan w:val="3"/>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olor w:val="000000"/>
                <w:kern w:val="0"/>
                <w:highlight w:val="none"/>
                <w:lang w:val="en-US" w:eastAsia="zh-CN"/>
              </w:rPr>
            </w:pPr>
            <w:r>
              <w:rPr>
                <w:rFonts w:hint="eastAsia" w:ascii="宋体" w:hAnsi="宋体" w:eastAsia="宋体"/>
                <w:color w:val="000000"/>
                <w:kern w:val="0"/>
                <w:highlight w:val="none"/>
                <w:lang w:val="en-US" w:eastAsia="zh-CN"/>
              </w:rPr>
              <w:t>二十六、抗疫特别国债安排的支出</w:t>
            </w:r>
          </w:p>
        </w:tc>
        <w:tc>
          <w:tcPr>
            <w:tcW w:w="10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57</w:t>
            </w:r>
          </w:p>
        </w:tc>
        <w:tc>
          <w:tcPr>
            <w:tcW w:w="281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b/>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宋体"/>
                <w:b/>
                <w:color w:val="000000"/>
                <w:kern w:val="0"/>
                <w:highlight w:val="none"/>
              </w:rPr>
            </w:pPr>
            <w:r>
              <w:rPr>
                <w:rFonts w:hint="eastAsia" w:ascii="宋体" w:hAnsi="宋体"/>
                <w:b/>
                <w:color w:val="000000"/>
                <w:kern w:val="0"/>
                <w:highlight w:val="none"/>
              </w:rPr>
              <w:t>本年收入合计</w:t>
            </w:r>
          </w:p>
        </w:tc>
        <w:tc>
          <w:tcPr>
            <w:tcW w:w="63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eastAsia="宋体"/>
                <w:color w:val="000000"/>
                <w:kern w:val="0"/>
                <w:sz w:val="18"/>
                <w:szCs w:val="18"/>
                <w:highlight w:val="none"/>
                <w:shd w:val="clear" w:color="auto" w:fill="FFFFFF"/>
                <w:lang w:eastAsia="zh-CN"/>
              </w:rPr>
            </w:pPr>
            <w:r>
              <w:rPr>
                <w:rFonts w:hint="eastAsia" w:ascii="宋体" w:hAnsi="宋体" w:eastAsia="宋体" w:cs="宋体"/>
                <w:i w:val="0"/>
                <w:color w:val="000000"/>
                <w:kern w:val="0"/>
                <w:sz w:val="18"/>
                <w:szCs w:val="18"/>
                <w:u w:val="none"/>
                <w:lang w:val="en-US" w:eastAsia="zh-CN" w:bidi="ar"/>
              </w:rPr>
              <w:t>27</w:t>
            </w:r>
          </w:p>
        </w:tc>
        <w:tc>
          <w:tcPr>
            <w:tcW w:w="25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4,128.65</w:t>
            </w:r>
          </w:p>
        </w:tc>
        <w:tc>
          <w:tcPr>
            <w:tcW w:w="3051" w:type="dxa"/>
            <w:gridSpan w:val="3"/>
            <w:tcBorders>
              <w:top w:val="single" w:color="000000" w:sz="4" w:space="0"/>
              <w:left w:val="nil"/>
              <w:bottom w:val="single" w:color="000000" w:sz="4" w:space="0"/>
              <w:right w:val="single" w:color="000000" w:sz="4" w:space="0"/>
            </w:tcBorders>
            <w:vAlign w:val="center"/>
          </w:tcPr>
          <w:p>
            <w:pPr>
              <w:widowControl/>
              <w:jc w:val="center"/>
              <w:rPr>
                <w:rFonts w:hint="default" w:ascii="宋体"/>
                <w:b/>
                <w:color w:val="000000"/>
                <w:kern w:val="0"/>
                <w:highlight w:val="none"/>
              </w:rPr>
            </w:pPr>
            <w:r>
              <w:rPr>
                <w:rFonts w:hint="eastAsia" w:ascii="宋体" w:hAnsi="宋体"/>
                <w:b/>
                <w:color w:val="000000"/>
                <w:kern w:val="0"/>
                <w:highlight w:val="none"/>
              </w:rPr>
              <w:t>本年支出合计</w:t>
            </w:r>
          </w:p>
        </w:tc>
        <w:tc>
          <w:tcPr>
            <w:tcW w:w="1019"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highlight w:val="none"/>
              </w:rPr>
            </w:pPr>
            <w:r>
              <w:rPr>
                <w:rFonts w:hint="eastAsia" w:ascii="宋体" w:hAnsi="宋体"/>
                <w:color w:val="000000"/>
                <w:kern w:val="0"/>
                <w:highlight w:val="none"/>
              </w:rPr>
              <w:t>2</w:t>
            </w:r>
            <w:r>
              <w:rPr>
                <w:rFonts w:hint="eastAsia" w:ascii="宋体" w:hAnsi="宋体"/>
                <w:color w:val="000000"/>
                <w:kern w:val="0"/>
                <w:highlight w:val="none"/>
                <w:lang w:val="en-US" w:eastAsia="zh-CN"/>
              </w:rPr>
              <w:t>3</w:t>
            </w:r>
          </w:p>
        </w:tc>
        <w:tc>
          <w:tcPr>
            <w:tcW w:w="281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b/>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5,756.64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eastAsia="宋体"/>
                <w:color w:val="000000"/>
                <w:kern w:val="0"/>
                <w:highlight w:val="none"/>
                <w:lang w:eastAsia="zh-CN"/>
              </w:rPr>
            </w:pPr>
            <w:r>
              <w:rPr>
                <w:rFonts w:hint="eastAsia" w:ascii="宋体" w:hAnsi="宋体"/>
                <w:color w:val="000000"/>
                <w:kern w:val="0"/>
                <w:highlight w:val="none"/>
                <w:lang w:eastAsia="zh-CN"/>
              </w:rPr>
              <w:t>使用非财政拨款结余</w:t>
            </w:r>
          </w:p>
        </w:tc>
        <w:tc>
          <w:tcPr>
            <w:tcW w:w="63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color w:val="000000"/>
                <w:kern w:val="0"/>
                <w:sz w:val="18"/>
                <w:szCs w:val="18"/>
                <w:highlight w:val="none"/>
                <w:shd w:val="clear" w:color="auto" w:fill="FFFFFF"/>
              </w:rPr>
            </w:pPr>
            <w:r>
              <w:rPr>
                <w:rFonts w:hint="eastAsia" w:ascii="宋体" w:hAnsi="宋体" w:eastAsia="宋体" w:cs="宋体"/>
                <w:i w:val="0"/>
                <w:color w:val="000000"/>
                <w:kern w:val="0"/>
                <w:sz w:val="18"/>
                <w:szCs w:val="18"/>
                <w:u w:val="none"/>
                <w:lang w:val="en-US" w:eastAsia="zh-CN" w:bidi="ar"/>
              </w:rPr>
              <w:t>28</w:t>
            </w:r>
          </w:p>
        </w:tc>
        <w:tc>
          <w:tcPr>
            <w:tcW w:w="25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c>
          <w:tcPr>
            <w:tcW w:w="3051" w:type="dxa"/>
            <w:gridSpan w:val="3"/>
            <w:tcBorders>
              <w:top w:val="single" w:color="000000" w:sz="4" w:space="0"/>
              <w:left w:val="nil"/>
              <w:bottom w:val="single" w:color="000000" w:sz="4" w:space="0"/>
              <w:right w:val="single" w:color="000000" w:sz="4" w:space="0"/>
            </w:tcBorders>
            <w:vAlign w:val="center"/>
          </w:tcPr>
          <w:p>
            <w:pPr>
              <w:widowControl/>
              <w:jc w:val="left"/>
              <w:rPr>
                <w:rFonts w:hint="default" w:ascii="宋体"/>
                <w:color w:val="000000"/>
                <w:kern w:val="0"/>
                <w:highlight w:val="none"/>
              </w:rPr>
            </w:pPr>
            <w:r>
              <w:rPr>
                <w:rFonts w:hint="eastAsia" w:ascii="宋体" w:hAnsi="宋体"/>
                <w:color w:val="000000"/>
                <w:kern w:val="0"/>
                <w:highlight w:val="none"/>
              </w:rPr>
              <w:t>结余分配</w:t>
            </w:r>
          </w:p>
        </w:tc>
        <w:tc>
          <w:tcPr>
            <w:tcW w:w="1019"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highlight w:val="none"/>
              </w:rPr>
            </w:pPr>
            <w:r>
              <w:rPr>
                <w:rFonts w:hint="eastAsia" w:ascii="宋体" w:hAnsi="宋体"/>
                <w:color w:val="000000"/>
                <w:kern w:val="0"/>
                <w:highlight w:val="none"/>
              </w:rPr>
              <w:t>2</w:t>
            </w:r>
            <w:r>
              <w:rPr>
                <w:rFonts w:hint="eastAsia" w:ascii="宋体" w:hAnsi="宋体"/>
                <w:color w:val="000000"/>
                <w:kern w:val="0"/>
                <w:highlight w:val="none"/>
                <w:lang w:val="en-US" w:eastAsia="zh-CN"/>
              </w:rPr>
              <w:t>4</w:t>
            </w:r>
          </w:p>
        </w:tc>
        <w:tc>
          <w:tcPr>
            <w:tcW w:w="281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宋体"/>
                <w:color w:val="000000"/>
                <w:kern w:val="0"/>
                <w:highlight w:val="none"/>
              </w:rPr>
            </w:pPr>
            <w:r>
              <w:rPr>
                <w:rFonts w:hint="eastAsia" w:ascii="宋体" w:hAnsi="宋体"/>
                <w:color w:val="000000"/>
                <w:kern w:val="0"/>
                <w:highlight w:val="none"/>
              </w:rPr>
              <w:t>年初结转和结余</w:t>
            </w:r>
          </w:p>
        </w:tc>
        <w:tc>
          <w:tcPr>
            <w:tcW w:w="63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color w:val="000000"/>
                <w:kern w:val="0"/>
                <w:sz w:val="18"/>
                <w:szCs w:val="18"/>
                <w:highlight w:val="none"/>
                <w:shd w:val="clear" w:color="auto" w:fill="FFFFFF"/>
              </w:rPr>
            </w:pPr>
            <w:r>
              <w:rPr>
                <w:rFonts w:hint="eastAsia" w:ascii="宋体" w:hAnsi="宋体" w:eastAsia="宋体" w:cs="宋体"/>
                <w:i w:val="0"/>
                <w:color w:val="000000"/>
                <w:kern w:val="0"/>
                <w:sz w:val="18"/>
                <w:szCs w:val="18"/>
                <w:u w:val="none"/>
                <w:lang w:val="en-US" w:eastAsia="zh-CN" w:bidi="ar"/>
              </w:rPr>
              <w:t>29</w:t>
            </w:r>
          </w:p>
        </w:tc>
        <w:tc>
          <w:tcPr>
            <w:tcW w:w="2517"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1,627.99</w:t>
            </w:r>
          </w:p>
        </w:tc>
        <w:tc>
          <w:tcPr>
            <w:tcW w:w="3051" w:type="dxa"/>
            <w:gridSpan w:val="3"/>
            <w:tcBorders>
              <w:top w:val="single" w:color="000000" w:sz="4" w:space="0"/>
              <w:left w:val="nil"/>
              <w:bottom w:val="single" w:color="000000" w:sz="4" w:space="0"/>
              <w:right w:val="single" w:color="000000" w:sz="4" w:space="0"/>
            </w:tcBorders>
            <w:vAlign w:val="center"/>
          </w:tcPr>
          <w:p>
            <w:pPr>
              <w:widowControl/>
              <w:jc w:val="left"/>
              <w:rPr>
                <w:rFonts w:hint="default" w:ascii="宋体"/>
                <w:color w:val="000000"/>
                <w:kern w:val="0"/>
                <w:highlight w:val="none"/>
              </w:rPr>
            </w:pPr>
            <w:r>
              <w:rPr>
                <w:rFonts w:hint="eastAsia" w:ascii="宋体" w:hAnsi="宋体"/>
                <w:color w:val="000000"/>
                <w:kern w:val="0"/>
                <w:highlight w:val="none"/>
              </w:rPr>
              <w:t>年末结转和结余</w:t>
            </w:r>
          </w:p>
        </w:tc>
        <w:tc>
          <w:tcPr>
            <w:tcW w:w="1019"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highlight w:val="none"/>
              </w:rPr>
            </w:pPr>
            <w:r>
              <w:rPr>
                <w:rFonts w:hint="eastAsia" w:ascii="宋体" w:hAnsi="宋体"/>
                <w:color w:val="000000"/>
                <w:kern w:val="0"/>
                <w:highlight w:val="none"/>
              </w:rPr>
              <w:t>2</w:t>
            </w:r>
            <w:r>
              <w:rPr>
                <w:rFonts w:hint="eastAsia" w:ascii="宋体" w:hAnsi="宋体"/>
                <w:color w:val="000000"/>
                <w:kern w:val="0"/>
                <w:highlight w:val="none"/>
                <w:lang w:val="en-US" w:eastAsia="zh-CN"/>
              </w:rPr>
              <w:t>5</w:t>
            </w:r>
          </w:p>
        </w:tc>
        <w:tc>
          <w:tcPr>
            <w:tcW w:w="281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宋体"/>
                <w:color w:val="000000"/>
                <w:kern w:val="0"/>
                <w:highlight w:val="none"/>
              </w:rPr>
            </w:pPr>
            <w:r>
              <w:rPr>
                <w:rFonts w:hint="eastAsia" w:ascii="宋体" w:hAnsi="宋体"/>
                <w:color w:val="000000"/>
                <w:kern w:val="0"/>
                <w:highlight w:val="none"/>
              </w:rPr>
              <w:t xml:space="preserve">                </w:t>
            </w:r>
            <w:r>
              <w:rPr>
                <w:rFonts w:hint="eastAsia" w:ascii="宋体" w:hAnsi="宋体"/>
                <w:b/>
                <w:color w:val="000000"/>
                <w:kern w:val="0"/>
                <w:highlight w:val="none"/>
                <w:shd w:val="clear" w:color="auto" w:fill="FFFFFF"/>
              </w:rPr>
              <w:t>总计</w:t>
            </w:r>
          </w:p>
        </w:tc>
        <w:tc>
          <w:tcPr>
            <w:tcW w:w="636" w:type="dxa"/>
            <w:tcBorders>
              <w:top w:val="single" w:color="000000" w:sz="4" w:space="0"/>
              <w:left w:val="nil"/>
              <w:bottom w:val="single" w:color="000000" w:sz="4" w:space="0"/>
              <w:right w:val="single" w:color="000000" w:sz="4" w:space="0"/>
            </w:tcBorders>
            <w:shd w:val="clear" w:color="auto" w:fill="FFFFFF"/>
            <w:vAlign w:val="center"/>
          </w:tcPr>
          <w:p>
            <w:pPr>
              <w:widowControl/>
              <w:shd w:val="clear" w:color="auto" w:fill="FFFFFF"/>
              <w:jc w:val="center"/>
              <w:rPr>
                <w:rFonts w:hint="default" w:ascii="宋体" w:eastAsia="宋体"/>
                <w:color w:val="000000"/>
                <w:kern w:val="0"/>
                <w:highlight w:val="none"/>
                <w:shd w:val="clear" w:color="auto" w:fill="FFFFFF"/>
                <w:lang w:val="en-US" w:eastAsia="zh-CN"/>
              </w:rPr>
            </w:pPr>
            <w:r>
              <w:rPr>
                <w:rFonts w:hint="eastAsia" w:ascii="宋体" w:hAnsi="宋体"/>
                <w:color w:val="000000"/>
                <w:kern w:val="0"/>
                <w:highlight w:val="none"/>
                <w:shd w:val="clear" w:color="auto" w:fill="FFFFFF"/>
                <w:lang w:val="en-US" w:eastAsia="zh-CN"/>
              </w:rPr>
              <w:t>31</w:t>
            </w:r>
          </w:p>
        </w:tc>
        <w:tc>
          <w:tcPr>
            <w:tcW w:w="2517" w:type="dxa"/>
            <w:tcBorders>
              <w:top w:val="single" w:color="000000" w:sz="4" w:space="0"/>
              <w:left w:val="nil"/>
              <w:bottom w:val="single" w:color="000000" w:sz="4" w:space="0"/>
              <w:right w:val="single" w:color="000000" w:sz="4" w:space="0"/>
            </w:tcBorders>
            <w:vAlign w:val="center"/>
          </w:tcPr>
          <w:tbl>
            <w:tblPr>
              <w:tblStyle w:val="5"/>
              <w:tblW w:w="234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2340" w:type="dxa"/>
                  <w:tcBorders>
                    <w:top w:val="nil"/>
                    <w:left w:val="nil"/>
                    <w:bottom w:val="single" w:color="000000" w:sz="8" w:space="0"/>
                    <w:right w:val="single" w:color="000000" w:sz="4" w:space="0"/>
                  </w:tcBorders>
                  <w:shd w:val="clear" w:color="auto" w:fill="auto"/>
                  <w:noWrap/>
                  <w:vAlign w:val="center"/>
                </w:tcPr>
                <w:tbl>
                  <w:tblPr>
                    <w:tblStyle w:val="5"/>
                    <w:tblW w:w="211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12"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5,756.64</w:t>
                        </w:r>
                      </w:p>
                    </w:tc>
                  </w:tr>
                </w:tbl>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30,722.54</w:t>
                  </w:r>
                </w:p>
              </w:tc>
            </w:tr>
          </w:tbl>
          <w:p>
            <w:pPr>
              <w:widowControl/>
              <w:jc w:val="right"/>
              <w:rPr>
                <w:rFonts w:hint="default" w:ascii="宋体"/>
                <w:color w:val="000000"/>
                <w:kern w:val="0"/>
                <w:highlight w:val="none"/>
              </w:rPr>
            </w:pPr>
          </w:p>
        </w:tc>
        <w:tc>
          <w:tcPr>
            <w:tcW w:w="3051" w:type="dxa"/>
            <w:gridSpan w:val="3"/>
            <w:tcBorders>
              <w:top w:val="single" w:color="000000" w:sz="4" w:space="0"/>
              <w:left w:val="nil"/>
              <w:bottom w:val="single" w:color="000000" w:sz="4" w:space="0"/>
              <w:right w:val="single" w:color="000000" w:sz="4" w:space="0"/>
            </w:tcBorders>
            <w:vAlign w:val="center"/>
          </w:tcPr>
          <w:p>
            <w:pPr>
              <w:widowControl/>
              <w:jc w:val="left"/>
              <w:rPr>
                <w:rFonts w:hint="default" w:ascii="宋体"/>
                <w:color w:val="000000"/>
                <w:kern w:val="0"/>
                <w:highlight w:val="none"/>
              </w:rPr>
            </w:pPr>
            <w:r>
              <w:rPr>
                <w:rFonts w:hint="eastAsia" w:ascii="宋体" w:hAnsi="宋体"/>
                <w:b/>
                <w:color w:val="000000"/>
                <w:kern w:val="0"/>
                <w:highlight w:val="none"/>
                <w:shd w:val="clear" w:color="auto" w:fill="FFFFFF"/>
              </w:rPr>
              <w:t xml:space="preserve">            总计</w:t>
            </w:r>
          </w:p>
        </w:tc>
        <w:tc>
          <w:tcPr>
            <w:tcW w:w="1019"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eastAsia="宋体"/>
                <w:color w:val="000000"/>
                <w:kern w:val="0"/>
                <w:highlight w:val="none"/>
                <w:lang w:eastAsia="zh-CN"/>
              </w:rPr>
            </w:pPr>
            <w:r>
              <w:rPr>
                <w:rFonts w:hint="eastAsia" w:ascii="宋体" w:hAnsi="宋体"/>
                <w:color w:val="000000"/>
                <w:kern w:val="0"/>
                <w:highlight w:val="none"/>
                <w:lang w:val="en-US" w:eastAsia="zh-CN"/>
              </w:rPr>
              <w:t>26</w:t>
            </w:r>
          </w:p>
        </w:tc>
        <w:tc>
          <w:tcPr>
            <w:tcW w:w="2818" w:type="dxa"/>
            <w:tcBorders>
              <w:top w:val="single" w:color="000000" w:sz="4" w:space="0"/>
              <w:left w:val="nil"/>
              <w:bottom w:val="single" w:color="000000" w:sz="4" w:space="0"/>
              <w:right w:val="single" w:color="000000" w:sz="4" w:space="0"/>
            </w:tcBorders>
            <w:vAlign w:val="center"/>
          </w:tcPr>
          <w:tbl>
            <w:tblPr>
              <w:tblStyle w:val="5"/>
              <w:tblW w:w="272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72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5756.64</w:t>
                  </w:r>
                </w:p>
              </w:tc>
            </w:tr>
          </w:tbl>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p>
        </w:tc>
      </w:tr>
    </w:tbl>
    <w:p>
      <w:pPr>
        <w:widowControl/>
        <w:spacing w:line="56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注：1.本表反映部门本年度的总收支和年末结转结余情况。</w:t>
      </w:r>
      <w:r>
        <w:rPr>
          <w:rFonts w:hint="eastAsia" w:ascii="宋体" w:hAnsi="宋体" w:cs="宋体"/>
          <w:kern w:val="0"/>
          <w:sz w:val="21"/>
          <w:szCs w:val="21"/>
          <w:highlight w:val="none"/>
          <w:lang w:val="en-US" w:eastAsia="zh-CN"/>
        </w:rPr>
        <w:t>2.</w:t>
      </w:r>
      <w:r>
        <w:rPr>
          <w:rFonts w:hint="eastAsia" w:ascii="宋体" w:hAnsi="宋体" w:eastAsia="宋体" w:cs="宋体"/>
          <w:kern w:val="0"/>
          <w:sz w:val="21"/>
          <w:szCs w:val="21"/>
          <w:highlight w:val="none"/>
        </w:rPr>
        <w:t>本套报表金额单位转换时可能存在尾数误差。3.如本表为空，则我部门本年度无此类资金收支余。</w:t>
      </w:r>
    </w:p>
    <w:p>
      <w:pPr>
        <w:widowControl/>
        <w:spacing w:line="560" w:lineRule="atLeast"/>
        <w:rPr>
          <w:rFonts w:hint="eastAsia" w:ascii="仿宋_GB2312" w:hAnsi="宋体" w:eastAsia="仿宋_GB2312"/>
          <w:kern w:val="0"/>
          <w:sz w:val="24"/>
          <w:highlight w:val="none"/>
        </w:rPr>
      </w:pPr>
    </w:p>
    <w:p>
      <w:pPr>
        <w:widowControl/>
        <w:spacing w:line="560" w:lineRule="atLeast"/>
        <w:rPr>
          <w:rFonts w:hint="eastAsia" w:ascii="仿宋_GB2312" w:hAnsi="宋体" w:eastAsia="仿宋_GB2312"/>
          <w:kern w:val="0"/>
          <w:sz w:val="24"/>
          <w:highlight w:val="none"/>
        </w:rPr>
      </w:pPr>
    </w:p>
    <w:p>
      <w:pPr>
        <w:widowControl/>
        <w:spacing w:line="560" w:lineRule="atLeast"/>
        <w:rPr>
          <w:rFonts w:hint="eastAsia" w:ascii="仿宋_GB2312" w:hAnsi="宋体" w:eastAsia="仿宋_GB2312"/>
          <w:kern w:val="0"/>
          <w:sz w:val="24"/>
          <w:highlight w:val="none"/>
        </w:rPr>
      </w:pPr>
    </w:p>
    <w:p>
      <w:pPr>
        <w:widowControl/>
        <w:spacing w:line="560" w:lineRule="atLeast"/>
        <w:rPr>
          <w:rFonts w:hint="eastAsia" w:ascii="仿宋_GB2312" w:hAnsi="宋体" w:eastAsia="仿宋_GB2312"/>
          <w:kern w:val="0"/>
          <w:sz w:val="24"/>
          <w:highlight w:val="none"/>
        </w:rPr>
      </w:pPr>
    </w:p>
    <w:p>
      <w:pPr>
        <w:widowControl/>
        <w:spacing w:line="560" w:lineRule="atLeast"/>
        <w:rPr>
          <w:rFonts w:hint="eastAsia" w:ascii="仿宋_GB2312" w:hAnsi="宋体" w:eastAsia="仿宋_GB2312"/>
          <w:kern w:val="0"/>
          <w:sz w:val="24"/>
          <w:highlight w:val="none"/>
        </w:rPr>
      </w:pPr>
    </w:p>
    <w:p>
      <w:pPr>
        <w:widowControl/>
        <w:spacing w:line="560" w:lineRule="atLeast"/>
        <w:rPr>
          <w:rFonts w:hint="eastAsia" w:ascii="仿宋_GB2312" w:hAnsi="宋体" w:eastAsia="仿宋_GB2312"/>
          <w:kern w:val="0"/>
          <w:sz w:val="24"/>
          <w:highlight w:val="none"/>
        </w:rPr>
      </w:pPr>
    </w:p>
    <w:p>
      <w:pPr>
        <w:widowControl/>
        <w:spacing w:line="560" w:lineRule="atLeast"/>
        <w:rPr>
          <w:rFonts w:hint="eastAsia" w:ascii="仿宋_GB2312" w:hAnsi="宋体" w:eastAsia="仿宋_GB2312"/>
          <w:kern w:val="0"/>
          <w:sz w:val="24"/>
          <w:highlight w:val="none"/>
        </w:rPr>
      </w:pPr>
    </w:p>
    <w:p>
      <w:pPr>
        <w:widowControl/>
        <w:spacing w:line="560" w:lineRule="atLeast"/>
        <w:rPr>
          <w:rFonts w:hint="eastAsia" w:ascii="仿宋_GB2312" w:hAnsi="宋体" w:eastAsia="仿宋_GB2312"/>
          <w:kern w:val="0"/>
          <w:sz w:val="24"/>
          <w:highlight w:val="none"/>
        </w:rPr>
      </w:pPr>
    </w:p>
    <w:tbl>
      <w:tblPr>
        <w:tblStyle w:val="5"/>
        <w:tblpPr w:leftFromText="180" w:rightFromText="180" w:vertAnchor="text" w:horzAnchor="page" w:tblpX="817" w:tblpY="1828"/>
        <w:tblOverlap w:val="never"/>
        <w:tblW w:w="150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5"/>
        <w:gridCol w:w="410"/>
        <w:gridCol w:w="255"/>
        <w:gridCol w:w="561"/>
        <w:gridCol w:w="4067"/>
        <w:gridCol w:w="561"/>
        <w:gridCol w:w="587"/>
        <w:gridCol w:w="215"/>
        <w:gridCol w:w="1241"/>
        <w:gridCol w:w="1568"/>
        <w:gridCol w:w="1319"/>
        <w:gridCol w:w="907"/>
        <w:gridCol w:w="236"/>
        <w:gridCol w:w="541"/>
        <w:gridCol w:w="516"/>
        <w:gridCol w:w="191"/>
        <w:gridCol w:w="1008"/>
        <w:gridCol w:w="1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469" w:hRule="atLeast"/>
        </w:trPr>
        <w:tc>
          <w:tcPr>
            <w:tcW w:w="14898" w:type="dxa"/>
            <w:gridSpan w:val="17"/>
            <w:tcBorders>
              <w:top w:val="nil"/>
              <w:left w:val="nil"/>
              <w:bottom w:val="nil"/>
              <w:right w:val="nil"/>
            </w:tcBorders>
            <w:shd w:val="clear" w:color="auto" w:fill="FFFFFF"/>
            <w:vAlign w:val="center"/>
          </w:tcPr>
          <w:p>
            <w:pPr>
              <w:widowControl/>
              <w:spacing w:line="560" w:lineRule="atLeast"/>
              <w:rPr>
                <w:rFonts w:hint="eastAsia" w:ascii="仿宋_GB2312" w:hAnsi="宋体" w:eastAsia="仿宋_GB2312"/>
                <w:kern w:val="0"/>
                <w:sz w:val="24"/>
                <w:highlight w:val="none"/>
              </w:rPr>
            </w:pPr>
            <w:r>
              <w:rPr>
                <w:rFonts w:hint="eastAsia" w:ascii="仿宋_GB2312" w:hAnsi="宋体" w:eastAsia="仿宋_GB2312"/>
                <w:kern w:val="0"/>
                <w:sz w:val="24"/>
                <w:highlight w:val="none"/>
              </w:rPr>
              <w:t>附件1-2</w:t>
            </w:r>
          </w:p>
          <w:p>
            <w:pPr>
              <w:widowControl/>
              <w:spacing w:line="560" w:lineRule="atLeast"/>
              <w:rPr>
                <w:rFonts w:hint="eastAsia" w:ascii="仿宋_GB2312" w:hAnsi="宋体" w:eastAsia="仿宋_GB2312"/>
                <w:kern w:val="0"/>
                <w:sz w:val="24"/>
                <w:highlight w:val="none"/>
              </w:rPr>
            </w:pPr>
          </w:p>
          <w:p>
            <w:pPr>
              <w:widowControl/>
              <w:shd w:val="clear" w:color="auto" w:fill="FFFFFF"/>
              <w:jc w:val="center"/>
              <w:rPr>
                <w:rFonts w:hint="default" w:ascii="宋体"/>
                <w:b/>
                <w:color w:val="000000"/>
                <w:kern w:val="0"/>
                <w:highlight w:val="none"/>
                <w:shd w:val="clear" w:color="auto" w:fill="FFFFFF"/>
              </w:rPr>
            </w:pPr>
            <w:r>
              <w:rPr>
                <w:rFonts w:hint="eastAsia" w:ascii="宋体" w:hAnsi="宋体"/>
                <w:b/>
                <w:color w:val="000000"/>
                <w:kern w:val="0"/>
                <w:sz w:val="28"/>
                <w:highlight w:val="none"/>
                <w:shd w:val="clear" w:color="auto" w:fill="FFFFFF"/>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715" w:type="dxa"/>
            <w:tcBorders>
              <w:top w:val="nil"/>
              <w:left w:val="nil"/>
              <w:bottom w:val="nil"/>
              <w:right w:val="nil"/>
            </w:tcBorders>
            <w:shd w:val="clear" w:color="auto" w:fill="FFFFFF"/>
            <w:vAlign w:val="center"/>
          </w:tcPr>
          <w:p>
            <w:pPr>
              <w:widowControl/>
              <w:shd w:val="clear" w:color="auto" w:fill="FFFFFF"/>
              <w:jc w:val="both"/>
              <w:rPr>
                <w:rFonts w:hint="eastAsia" w:ascii="宋体" w:eastAsia="宋体"/>
                <w:color w:val="000000"/>
                <w:kern w:val="0"/>
                <w:highlight w:val="none"/>
                <w:shd w:val="clear" w:color="auto" w:fill="FFFFFF"/>
                <w:lang w:val="en-US" w:eastAsia="zh-CN"/>
              </w:rPr>
            </w:pPr>
          </w:p>
        </w:tc>
        <w:tc>
          <w:tcPr>
            <w:tcW w:w="410" w:type="dxa"/>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highlight w:val="none"/>
                <w:shd w:val="clear" w:color="auto" w:fill="FFFFFF"/>
              </w:rPr>
            </w:pPr>
          </w:p>
        </w:tc>
        <w:tc>
          <w:tcPr>
            <w:tcW w:w="816" w:type="dxa"/>
            <w:gridSpan w:val="2"/>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highlight w:val="none"/>
                <w:shd w:val="clear" w:color="auto" w:fill="FFFFFF"/>
              </w:rPr>
            </w:pPr>
          </w:p>
        </w:tc>
        <w:tc>
          <w:tcPr>
            <w:tcW w:w="4067" w:type="dxa"/>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highlight w:val="none"/>
                <w:shd w:val="clear" w:color="auto" w:fill="FFFFFF"/>
              </w:rPr>
            </w:pPr>
          </w:p>
        </w:tc>
        <w:tc>
          <w:tcPr>
            <w:tcW w:w="561" w:type="dxa"/>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highlight w:val="none"/>
                <w:shd w:val="clear" w:color="auto" w:fill="FFFFFF"/>
              </w:rPr>
            </w:pPr>
          </w:p>
        </w:tc>
        <w:tc>
          <w:tcPr>
            <w:tcW w:w="587" w:type="dxa"/>
            <w:tcBorders>
              <w:top w:val="nil"/>
              <w:left w:val="nil"/>
              <w:bottom w:val="nil"/>
              <w:right w:val="nil"/>
            </w:tcBorders>
            <w:shd w:val="clear" w:color="auto" w:fill="FFFFFF"/>
            <w:vAlign w:val="center"/>
          </w:tcPr>
          <w:p>
            <w:pPr>
              <w:widowControl/>
              <w:shd w:val="clear" w:color="auto" w:fill="FFFFFF"/>
              <w:jc w:val="both"/>
              <w:rPr>
                <w:rFonts w:hint="default" w:ascii="宋体"/>
                <w:color w:val="000000"/>
                <w:kern w:val="0"/>
                <w:highlight w:val="none"/>
                <w:shd w:val="clear" w:color="auto" w:fill="FFFFFF"/>
              </w:rPr>
            </w:pPr>
          </w:p>
        </w:tc>
        <w:tc>
          <w:tcPr>
            <w:tcW w:w="5250" w:type="dxa"/>
            <w:gridSpan w:val="5"/>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highlight w:val="none"/>
                <w:shd w:val="clear" w:color="auto" w:fill="FFFFFF"/>
              </w:rPr>
            </w:pPr>
          </w:p>
        </w:tc>
        <w:tc>
          <w:tcPr>
            <w:tcW w:w="236" w:type="dxa"/>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highlight w:val="none"/>
                <w:shd w:val="clear" w:color="auto" w:fill="FFFFFF"/>
              </w:rPr>
            </w:pPr>
          </w:p>
        </w:tc>
        <w:tc>
          <w:tcPr>
            <w:tcW w:w="541" w:type="dxa"/>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highlight w:val="none"/>
                <w:shd w:val="clear" w:color="auto" w:fill="FFFFFF"/>
              </w:rPr>
            </w:pPr>
          </w:p>
        </w:tc>
        <w:tc>
          <w:tcPr>
            <w:tcW w:w="516" w:type="dxa"/>
            <w:tcBorders>
              <w:top w:val="nil"/>
              <w:left w:val="nil"/>
              <w:bottom w:val="nil"/>
              <w:right w:val="nil"/>
            </w:tcBorders>
            <w:shd w:val="clear" w:color="auto" w:fill="FFFFFF"/>
            <w:vAlign w:val="center"/>
          </w:tcPr>
          <w:p>
            <w:pPr>
              <w:widowControl/>
              <w:shd w:val="clear" w:color="auto" w:fill="FFFFFF"/>
              <w:jc w:val="both"/>
              <w:rPr>
                <w:rFonts w:hint="default" w:ascii="宋体"/>
                <w:color w:val="000000"/>
                <w:kern w:val="0"/>
                <w:highlight w:val="none"/>
                <w:shd w:val="clear" w:color="auto" w:fill="FFFFFF"/>
              </w:rPr>
            </w:pPr>
          </w:p>
        </w:tc>
        <w:tc>
          <w:tcPr>
            <w:tcW w:w="1363" w:type="dxa"/>
            <w:gridSpan w:val="3"/>
            <w:tcBorders>
              <w:top w:val="nil"/>
              <w:left w:val="nil"/>
              <w:bottom w:val="nil"/>
              <w:right w:val="nil"/>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008" w:type="dxa"/>
            <w:gridSpan w:val="5"/>
            <w:tcBorders>
              <w:top w:val="nil"/>
              <w:left w:val="nil"/>
              <w:bottom w:val="nil"/>
              <w:right w:val="nil"/>
            </w:tcBorders>
            <w:shd w:val="clear" w:color="auto" w:fill="FFFFFF"/>
            <w:vAlign w:val="bottom"/>
          </w:tcPr>
          <w:p>
            <w:pPr>
              <w:widowControl/>
              <w:shd w:val="clear" w:color="auto" w:fill="FFFFFF"/>
              <w:jc w:val="left"/>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部门：</w:t>
            </w:r>
            <w:r>
              <w:rPr>
                <w:rFonts w:hint="eastAsia" w:ascii="宋体" w:hAnsi="宋体"/>
                <w:color w:val="000000"/>
                <w:kern w:val="0"/>
                <w:highlight w:val="none"/>
                <w:shd w:val="clear" w:color="auto" w:fill="FFFFFF"/>
                <w:lang w:eastAsia="zh-CN"/>
              </w:rPr>
              <w:t>沈阳市体育局本级</w:t>
            </w:r>
          </w:p>
        </w:tc>
        <w:tc>
          <w:tcPr>
            <w:tcW w:w="561" w:type="dxa"/>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highlight w:val="none"/>
                <w:shd w:val="clear" w:color="auto" w:fill="FFFFFF"/>
              </w:rPr>
            </w:pPr>
          </w:p>
        </w:tc>
        <w:tc>
          <w:tcPr>
            <w:tcW w:w="587" w:type="dxa"/>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highlight w:val="none"/>
                <w:shd w:val="clear" w:color="auto" w:fill="FFFFFF"/>
              </w:rPr>
            </w:pPr>
          </w:p>
        </w:tc>
        <w:tc>
          <w:tcPr>
            <w:tcW w:w="5250" w:type="dxa"/>
            <w:gridSpan w:val="5"/>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highlight w:val="none"/>
                <w:shd w:val="clear" w:color="auto" w:fill="FFFFFF"/>
              </w:rPr>
            </w:pPr>
          </w:p>
        </w:tc>
        <w:tc>
          <w:tcPr>
            <w:tcW w:w="236" w:type="dxa"/>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highlight w:val="none"/>
                <w:shd w:val="clear" w:color="auto" w:fill="FFFFFF"/>
              </w:rPr>
            </w:pPr>
          </w:p>
        </w:tc>
        <w:tc>
          <w:tcPr>
            <w:tcW w:w="541" w:type="dxa"/>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highlight w:val="none"/>
                <w:shd w:val="clear" w:color="auto" w:fill="FFFFFF"/>
              </w:rPr>
            </w:pPr>
          </w:p>
        </w:tc>
        <w:tc>
          <w:tcPr>
            <w:tcW w:w="516" w:type="dxa"/>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highlight w:val="none"/>
                <w:shd w:val="clear" w:color="auto" w:fill="FFFFFF"/>
              </w:rPr>
            </w:pPr>
          </w:p>
        </w:tc>
        <w:tc>
          <w:tcPr>
            <w:tcW w:w="1363" w:type="dxa"/>
            <w:gridSpan w:val="3"/>
            <w:tcBorders>
              <w:top w:val="nil"/>
              <w:left w:val="nil"/>
              <w:bottom w:val="nil"/>
              <w:right w:val="nil"/>
            </w:tcBorders>
            <w:shd w:val="clear" w:color="auto" w:fill="FFFFFF"/>
            <w:vAlign w:val="center"/>
          </w:tcPr>
          <w:p>
            <w:pPr>
              <w:widowControl/>
              <w:shd w:val="clear" w:color="auto" w:fill="FFFFFF"/>
              <w:jc w:val="both"/>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541" w:hRule="atLeast"/>
        </w:trPr>
        <w:tc>
          <w:tcPr>
            <w:tcW w:w="600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eastAsia="宋体"/>
                <w:color w:val="000000"/>
                <w:kern w:val="0"/>
                <w:highlight w:val="none"/>
                <w:shd w:val="clear" w:color="auto" w:fill="FFFFFF"/>
                <w:lang w:val="en-US" w:eastAsia="zh-CN"/>
              </w:rPr>
            </w:pPr>
            <w:r>
              <w:rPr>
                <w:rFonts w:hint="eastAsia" w:ascii="宋体"/>
                <w:color w:val="000000"/>
                <w:kern w:val="0"/>
                <w:highlight w:val="none"/>
                <w:shd w:val="clear" w:color="auto" w:fill="FFFFFF"/>
                <w:lang w:val="en-US" w:eastAsia="zh-CN"/>
              </w:rPr>
              <w:t>项目</w:t>
            </w:r>
          </w:p>
        </w:tc>
        <w:tc>
          <w:tcPr>
            <w:tcW w:w="1363" w:type="dxa"/>
            <w:gridSpan w:val="3"/>
            <w:vMerge w:val="restart"/>
            <w:tcBorders>
              <w:top w:val="single" w:color="000000" w:sz="4" w:space="0"/>
              <w:left w:val="nil"/>
              <w:right w:val="single" w:color="000000" w:sz="4" w:space="0"/>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本年收入合计</w:t>
            </w:r>
          </w:p>
        </w:tc>
        <w:tc>
          <w:tcPr>
            <w:tcW w:w="1241" w:type="dxa"/>
            <w:vMerge w:val="restart"/>
            <w:tcBorders>
              <w:top w:val="single" w:color="000000" w:sz="4" w:space="0"/>
              <w:left w:val="nil"/>
              <w:right w:val="single" w:color="000000" w:sz="4" w:space="0"/>
            </w:tcBorders>
            <w:shd w:val="clear" w:color="auto" w:fill="auto"/>
            <w:vAlign w:val="center"/>
          </w:tcPr>
          <w:p>
            <w:pPr>
              <w:widowControl/>
              <w:jc w:val="center"/>
              <w:rPr>
                <w:rFonts w:hint="default" w:ascii="宋体"/>
                <w:color w:val="000000"/>
                <w:kern w:val="0"/>
                <w:highlight w:val="none"/>
              </w:rPr>
            </w:pPr>
            <w:r>
              <w:rPr>
                <w:rFonts w:hint="eastAsia" w:ascii="宋体" w:hAnsi="宋体"/>
                <w:color w:val="000000"/>
                <w:kern w:val="0"/>
                <w:highlight w:val="none"/>
              </w:rPr>
              <w:t>财政拨款收入</w:t>
            </w:r>
          </w:p>
        </w:tc>
        <w:tc>
          <w:tcPr>
            <w:tcW w:w="1568" w:type="dxa"/>
            <w:vMerge w:val="restart"/>
            <w:tcBorders>
              <w:top w:val="single" w:color="000000" w:sz="4" w:space="0"/>
              <w:left w:val="nil"/>
              <w:right w:val="single" w:color="000000" w:sz="4" w:space="0"/>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上级补助收入</w:t>
            </w:r>
          </w:p>
        </w:tc>
        <w:tc>
          <w:tcPr>
            <w:tcW w:w="1319" w:type="dxa"/>
            <w:vMerge w:val="restart"/>
            <w:tcBorders>
              <w:top w:val="single" w:color="000000" w:sz="4" w:space="0"/>
              <w:left w:val="nil"/>
              <w:right w:val="single" w:color="000000" w:sz="4" w:space="0"/>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事业收入</w:t>
            </w:r>
          </w:p>
        </w:tc>
        <w:tc>
          <w:tcPr>
            <w:tcW w:w="1143" w:type="dxa"/>
            <w:gridSpan w:val="2"/>
            <w:vMerge w:val="restart"/>
            <w:tcBorders>
              <w:top w:val="single" w:color="000000" w:sz="4" w:space="0"/>
              <w:left w:val="nil"/>
              <w:right w:val="single" w:color="000000" w:sz="4" w:space="0"/>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经营收入</w:t>
            </w:r>
          </w:p>
        </w:tc>
        <w:tc>
          <w:tcPr>
            <w:tcW w:w="1248" w:type="dxa"/>
            <w:gridSpan w:val="3"/>
            <w:vMerge w:val="restart"/>
            <w:tcBorders>
              <w:top w:val="single" w:color="000000" w:sz="4" w:space="0"/>
              <w:left w:val="nil"/>
              <w:right w:val="single" w:color="000000" w:sz="4" w:space="0"/>
            </w:tcBorders>
            <w:vAlign w:val="center"/>
          </w:tcPr>
          <w:p>
            <w:pPr>
              <w:widowControl/>
              <w:jc w:val="center"/>
              <w:rPr>
                <w:rFonts w:hint="default" w:ascii="宋体"/>
                <w:color w:val="000000"/>
                <w:kern w:val="0"/>
                <w:highlight w:val="none"/>
              </w:rPr>
            </w:pPr>
            <w:r>
              <w:rPr>
                <w:rFonts w:hint="eastAsia" w:ascii="宋体" w:hAnsi="宋体"/>
                <w:color w:val="000000"/>
                <w:kern w:val="0"/>
                <w:highlight w:val="none"/>
              </w:rPr>
              <w:t>附属单位</w:t>
            </w:r>
            <w:r>
              <w:rPr>
                <w:rFonts w:hint="default" w:ascii="宋体"/>
                <w:color w:val="000000"/>
                <w:kern w:val="0"/>
                <w:highlight w:val="none"/>
              </w:rPr>
              <w:br w:type="textWrapping"/>
            </w:r>
            <w:r>
              <w:rPr>
                <w:rFonts w:hint="eastAsia" w:ascii="宋体" w:hAnsi="宋体"/>
                <w:color w:val="000000"/>
                <w:kern w:val="0"/>
                <w:highlight w:val="none"/>
              </w:rPr>
              <w:t>上缴收入</w:t>
            </w:r>
          </w:p>
        </w:tc>
        <w:tc>
          <w:tcPr>
            <w:tcW w:w="1008" w:type="dxa"/>
            <w:vMerge w:val="restart"/>
            <w:tcBorders>
              <w:top w:val="single" w:color="000000" w:sz="4" w:space="0"/>
              <w:left w:val="nil"/>
              <w:right w:val="single" w:color="000000" w:sz="4" w:space="0"/>
            </w:tcBorders>
            <w:vAlign w:val="center"/>
          </w:tcPr>
          <w:p>
            <w:pPr>
              <w:widowControl/>
              <w:jc w:val="center"/>
              <w:rPr>
                <w:rFonts w:hint="default" w:ascii="宋体"/>
                <w:color w:val="000000"/>
                <w:kern w:val="0"/>
                <w:highlight w:val="none"/>
              </w:rPr>
            </w:pPr>
            <w:r>
              <w:rPr>
                <w:rFonts w:hint="eastAsia" w:ascii="宋体" w:hAnsi="宋体"/>
                <w:color w:val="000000"/>
                <w:kern w:val="0"/>
                <w:highlight w:val="none"/>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55"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olor w:val="000000"/>
                <w:kern w:val="0"/>
                <w:highlight w:val="none"/>
                <w:shd w:val="clear" w:color="auto" w:fill="FFFFFF"/>
                <w:lang w:val="en-US" w:eastAsia="zh-CN"/>
              </w:rPr>
            </w:pPr>
            <w:r>
              <w:rPr>
                <w:rFonts w:hint="eastAsia" w:ascii="宋体" w:hAnsi="宋体"/>
                <w:color w:val="000000"/>
                <w:kern w:val="0"/>
                <w:highlight w:val="none"/>
                <w:shd w:val="clear" w:color="auto" w:fill="FFFFFF"/>
                <w:lang w:val="en-US" w:eastAsia="zh-CN"/>
              </w:rPr>
              <w:t>功能分类</w:t>
            </w:r>
          </w:p>
          <w:p>
            <w:pPr>
              <w:widowControl/>
              <w:shd w:val="clear" w:color="auto" w:fill="FFFFFF"/>
              <w:jc w:val="center"/>
              <w:rPr>
                <w:rFonts w:hint="eastAsia" w:ascii="宋体" w:hAnsi="宋体"/>
                <w:color w:val="000000"/>
                <w:kern w:val="0"/>
                <w:highlight w:val="none"/>
                <w:shd w:val="clear" w:color="auto" w:fill="FFFFFF"/>
              </w:rPr>
            </w:pPr>
            <w:r>
              <w:rPr>
                <w:rFonts w:hint="eastAsia" w:ascii="宋体" w:hAnsi="宋体"/>
                <w:color w:val="000000"/>
                <w:kern w:val="0"/>
                <w:highlight w:val="none"/>
                <w:shd w:val="clear" w:color="auto" w:fill="FFFFFF"/>
              </w:rPr>
              <w:t>科目编码</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olor w:val="000000"/>
                <w:kern w:val="0"/>
                <w:highlight w:val="none"/>
                <w:shd w:val="clear" w:color="auto" w:fill="FFFFFF"/>
              </w:rPr>
            </w:pPr>
            <w:r>
              <w:rPr>
                <w:rFonts w:hint="eastAsia" w:ascii="宋体" w:hAnsi="宋体"/>
                <w:color w:val="000000"/>
                <w:kern w:val="0"/>
                <w:highlight w:val="none"/>
                <w:shd w:val="clear" w:color="auto" w:fill="FFFFFF"/>
              </w:rPr>
              <w:t>科目名称</w:t>
            </w:r>
          </w:p>
        </w:tc>
        <w:tc>
          <w:tcPr>
            <w:tcW w:w="1363" w:type="dxa"/>
            <w:gridSpan w:val="3"/>
            <w:vMerge w:val="continue"/>
            <w:tcBorders>
              <w:left w:val="nil"/>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olor w:val="000000"/>
                <w:kern w:val="0"/>
                <w:highlight w:val="none"/>
                <w:shd w:val="clear" w:color="auto" w:fill="FFFFFF"/>
              </w:rPr>
            </w:pPr>
          </w:p>
        </w:tc>
        <w:tc>
          <w:tcPr>
            <w:tcW w:w="1241"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宋体" w:hAnsi="宋体"/>
                <w:color w:val="000000"/>
                <w:kern w:val="0"/>
                <w:highlight w:val="none"/>
              </w:rPr>
            </w:pPr>
          </w:p>
        </w:tc>
        <w:tc>
          <w:tcPr>
            <w:tcW w:w="1568" w:type="dxa"/>
            <w:vMerge w:val="continue"/>
            <w:tcBorders>
              <w:left w:val="nil"/>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olor w:val="000000"/>
                <w:kern w:val="0"/>
                <w:highlight w:val="none"/>
                <w:shd w:val="clear" w:color="auto" w:fill="FFFFFF"/>
              </w:rPr>
            </w:pPr>
          </w:p>
        </w:tc>
        <w:tc>
          <w:tcPr>
            <w:tcW w:w="1319" w:type="dxa"/>
            <w:vMerge w:val="continue"/>
            <w:tcBorders>
              <w:left w:val="nil"/>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olor w:val="000000"/>
                <w:kern w:val="0"/>
                <w:highlight w:val="none"/>
                <w:shd w:val="clear" w:color="auto" w:fill="FFFFFF"/>
              </w:rPr>
            </w:pPr>
          </w:p>
        </w:tc>
        <w:tc>
          <w:tcPr>
            <w:tcW w:w="1143" w:type="dxa"/>
            <w:gridSpan w:val="2"/>
            <w:vMerge w:val="continue"/>
            <w:tcBorders>
              <w:left w:val="nil"/>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olor w:val="000000"/>
                <w:kern w:val="0"/>
                <w:highlight w:val="none"/>
                <w:shd w:val="clear" w:color="auto" w:fill="FFFFFF"/>
              </w:rPr>
            </w:pPr>
          </w:p>
        </w:tc>
        <w:tc>
          <w:tcPr>
            <w:tcW w:w="1248" w:type="dxa"/>
            <w:gridSpan w:val="3"/>
            <w:vMerge w:val="continue"/>
            <w:tcBorders>
              <w:left w:val="nil"/>
              <w:bottom w:val="single" w:color="000000" w:sz="4" w:space="0"/>
              <w:right w:val="single" w:color="000000" w:sz="4" w:space="0"/>
            </w:tcBorders>
            <w:vAlign w:val="center"/>
          </w:tcPr>
          <w:p>
            <w:pPr>
              <w:widowControl/>
              <w:jc w:val="center"/>
              <w:rPr>
                <w:rFonts w:hint="eastAsia" w:ascii="宋体" w:hAnsi="宋体"/>
                <w:color w:val="000000"/>
                <w:kern w:val="0"/>
                <w:highlight w:val="none"/>
              </w:rPr>
            </w:pPr>
          </w:p>
        </w:tc>
        <w:tc>
          <w:tcPr>
            <w:tcW w:w="1008" w:type="dxa"/>
            <w:vMerge w:val="continue"/>
            <w:tcBorders>
              <w:left w:val="nil"/>
              <w:bottom w:val="single" w:color="000000" w:sz="4" w:space="0"/>
              <w:right w:val="single" w:color="000000" w:sz="4" w:space="0"/>
            </w:tcBorders>
            <w:vAlign w:val="center"/>
          </w:tcPr>
          <w:p>
            <w:pPr>
              <w:widowControl/>
              <w:jc w:val="center"/>
              <w:rPr>
                <w:rFonts w:hint="eastAsia" w:ascii="宋体" w:hAnsi="宋体"/>
                <w:color w:val="000000"/>
                <w:kern w:val="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543" w:hRule="atLeast"/>
        </w:trPr>
        <w:tc>
          <w:tcPr>
            <w:tcW w:w="6008" w:type="dxa"/>
            <w:gridSpan w:val="5"/>
            <w:tcBorders>
              <w:top w:val="nil"/>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栏次</w:t>
            </w:r>
          </w:p>
        </w:tc>
        <w:tc>
          <w:tcPr>
            <w:tcW w:w="1363" w:type="dxa"/>
            <w:gridSpan w:val="3"/>
            <w:tcBorders>
              <w:top w:val="single" w:color="000000" w:sz="4" w:space="0"/>
              <w:left w:val="nil"/>
              <w:bottom w:val="single" w:color="000000" w:sz="4" w:space="0"/>
              <w:right w:val="single" w:color="000000" w:sz="4" w:space="0"/>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1</w:t>
            </w:r>
          </w:p>
        </w:tc>
        <w:tc>
          <w:tcPr>
            <w:tcW w:w="1241" w:type="dxa"/>
            <w:tcBorders>
              <w:top w:val="single" w:color="000000" w:sz="4" w:space="0"/>
              <w:left w:val="nil"/>
              <w:bottom w:val="single" w:color="000000" w:sz="4" w:space="0"/>
              <w:right w:val="single" w:color="000000" w:sz="4" w:space="0"/>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2</w:t>
            </w:r>
          </w:p>
        </w:tc>
        <w:tc>
          <w:tcPr>
            <w:tcW w:w="1568" w:type="dxa"/>
            <w:tcBorders>
              <w:top w:val="single" w:color="000000" w:sz="4" w:space="0"/>
              <w:left w:val="nil"/>
              <w:bottom w:val="single" w:color="000000" w:sz="4" w:space="0"/>
              <w:right w:val="single" w:color="000000" w:sz="4" w:space="0"/>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3</w:t>
            </w:r>
          </w:p>
        </w:tc>
        <w:tc>
          <w:tcPr>
            <w:tcW w:w="1319" w:type="dxa"/>
            <w:tcBorders>
              <w:top w:val="single" w:color="000000" w:sz="4" w:space="0"/>
              <w:left w:val="nil"/>
              <w:bottom w:val="single" w:color="000000" w:sz="4" w:space="0"/>
              <w:right w:val="single" w:color="000000" w:sz="4" w:space="0"/>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4</w:t>
            </w:r>
          </w:p>
        </w:tc>
        <w:tc>
          <w:tcPr>
            <w:tcW w:w="1143" w:type="dxa"/>
            <w:gridSpan w:val="2"/>
            <w:tcBorders>
              <w:top w:val="single" w:color="000000" w:sz="4" w:space="0"/>
              <w:left w:val="nil"/>
              <w:bottom w:val="single" w:color="000000" w:sz="4" w:space="0"/>
              <w:right w:val="single" w:color="000000" w:sz="4" w:space="0"/>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5</w:t>
            </w:r>
          </w:p>
        </w:tc>
        <w:tc>
          <w:tcPr>
            <w:tcW w:w="1248" w:type="dxa"/>
            <w:gridSpan w:val="3"/>
            <w:tcBorders>
              <w:top w:val="single" w:color="000000" w:sz="4" w:space="0"/>
              <w:left w:val="nil"/>
              <w:bottom w:val="single" w:color="000000" w:sz="4" w:space="0"/>
              <w:right w:val="single" w:color="000000" w:sz="4" w:space="0"/>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6</w:t>
            </w:r>
          </w:p>
        </w:tc>
        <w:tc>
          <w:tcPr>
            <w:tcW w:w="1008" w:type="dxa"/>
            <w:tcBorders>
              <w:top w:val="single" w:color="000000" w:sz="4" w:space="0"/>
              <w:left w:val="nil"/>
              <w:bottom w:val="single" w:color="000000" w:sz="4" w:space="0"/>
              <w:right w:val="single" w:color="000000" w:sz="4" w:space="0"/>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6008" w:type="dxa"/>
            <w:gridSpan w:val="5"/>
            <w:tcBorders>
              <w:top w:val="nil"/>
              <w:left w:val="single" w:color="000000" w:sz="4" w:space="0"/>
              <w:bottom w:val="single" w:color="000000" w:sz="4" w:space="0"/>
              <w:right w:val="single" w:color="000000" w:sz="4" w:space="0"/>
            </w:tcBorders>
            <w:shd w:val="clear" w:color="auto" w:fill="auto"/>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合计</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4,128.65</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4,128.65</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205</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教育支出</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2,252.07</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2,252.07</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20503</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职业教育</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1,752.07</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1,752.07</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2050302</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中等职业教育</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1,646.63</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1,646.63</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20509</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教育费附加安排的支出</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38.50</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38.50</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2050999</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其他教育费附加安排的支出</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66.95</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66.95</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207</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文化旅游体育与传媒支出</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500.00</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500.00</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20703</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体育</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500.00</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500.00</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2070301</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行政运行</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115.82</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115.82</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2070302</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115.82</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115.82</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2070306</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体育训练</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43.07</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43.07</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2070307</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体育场馆</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72.75</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72.75</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2070399</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其他体育支出</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20799</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其他文化旅游体育与传媒支出</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2079999</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其他文化旅游体育与传媒支出</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208</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社会保障和就业支出</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119.70</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119.70</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20805</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行政事业单位养老支出</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119.70</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119.70</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2080501</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102.90</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102.90</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2080502</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16.80</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16.80</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2080505</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1,606.04</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1,606.04</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2080506</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1,606.04</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1,606.04</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20808</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抚恤</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1,606.04</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1,606.04</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2080802</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伤残抚恤</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4,128.65</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4,128.65</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210</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卫生健康支出</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2,252.07</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2,252.07</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21011</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行政事业单位医疗</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1,752.07</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1,752.07</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2101101</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行政单位医疗</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1,646.63</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1,646.63</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2101102</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事业单位医疗</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38.50</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38.50</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212</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城乡社区支出</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66.95</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66.95</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21208</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国有土地使用权出让收入安排的支出</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500.00</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500.00</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2120899</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其他国有土地使用权出让收入安排的支出</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500.00</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500.00</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221</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住房保障支出</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115.82</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115.82</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22102</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住房改革支出</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115.82</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115.82</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2210201</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住房公积金</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43.07</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43.07</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2210203</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购房补贴</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72.75</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72.75</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229</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其他支出</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22908</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彩票发行销售机构业务费安排的支出</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2290805</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体育彩票销售机构的业务费支出</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17"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22960</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彩票公益金安排的支出</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119.70</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119.70</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4" w:type="dxa"/>
          <w:trHeight w:val="626" w:hRule="atLeast"/>
        </w:trPr>
        <w:tc>
          <w:tcPr>
            <w:tcW w:w="13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2296003</w:t>
            </w:r>
          </w:p>
        </w:tc>
        <w:tc>
          <w:tcPr>
            <w:tcW w:w="4628"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用于体育事业的彩票公益金支出</w:t>
            </w:r>
          </w:p>
        </w:tc>
        <w:tc>
          <w:tcPr>
            <w:tcW w:w="136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119.70</w:t>
            </w:r>
          </w:p>
        </w:tc>
        <w:tc>
          <w:tcPr>
            <w:tcW w:w="12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119.70</w:t>
            </w:r>
          </w:p>
        </w:tc>
        <w:tc>
          <w:tcPr>
            <w:tcW w:w="15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31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43"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4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0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bl>
    <w:p>
      <w:pPr>
        <w:widowControl/>
        <w:spacing w:line="56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注：1.本表反映部门本年度取得的各项收入情况。</w:t>
      </w:r>
      <w:r>
        <w:rPr>
          <w:rFonts w:hint="eastAsia" w:ascii="宋体" w:hAnsi="宋体" w:cs="宋体"/>
          <w:kern w:val="0"/>
          <w:sz w:val="21"/>
          <w:szCs w:val="21"/>
          <w:highlight w:val="none"/>
          <w:lang w:val="en-US" w:eastAsia="zh-CN"/>
        </w:rPr>
        <w:t>2.</w:t>
      </w:r>
      <w:r>
        <w:rPr>
          <w:rFonts w:hint="eastAsia" w:ascii="宋体" w:hAnsi="宋体" w:eastAsia="宋体" w:cs="宋体"/>
          <w:kern w:val="0"/>
          <w:sz w:val="21"/>
          <w:szCs w:val="21"/>
          <w:highlight w:val="none"/>
        </w:rPr>
        <w:t>本套报表金额单位转换时可能存在尾数误差。3.如本表为空，则我部门本年度无此类资金收支余。</w:t>
      </w:r>
    </w:p>
    <w:p>
      <w:pPr>
        <w:widowControl/>
        <w:spacing w:line="560" w:lineRule="atLeast"/>
        <w:ind w:right="-1100" w:firstLine="480" w:firstLineChars="200"/>
        <w:jc w:val="left"/>
        <w:rPr>
          <w:rFonts w:hint="default" w:ascii="仿宋_GB2312" w:hAnsi="宋体" w:eastAsia="仿宋_GB2312"/>
          <w:kern w:val="0"/>
          <w:sz w:val="24"/>
          <w:highlight w:val="none"/>
        </w:rPr>
      </w:pPr>
    </w:p>
    <w:p>
      <w:pPr>
        <w:widowControl/>
        <w:spacing w:line="560" w:lineRule="atLeast"/>
        <w:ind w:right="-1100" w:firstLine="480" w:firstLineChars="200"/>
        <w:jc w:val="left"/>
        <w:rPr>
          <w:rFonts w:hint="default" w:ascii="仿宋_GB2312" w:hAnsi="宋体" w:eastAsia="仿宋_GB2312"/>
          <w:kern w:val="0"/>
          <w:sz w:val="24"/>
          <w:highlight w:val="none"/>
        </w:rPr>
      </w:pPr>
    </w:p>
    <w:p>
      <w:pPr>
        <w:widowControl/>
        <w:spacing w:line="560" w:lineRule="atLeast"/>
        <w:ind w:right="-1100" w:firstLine="480" w:firstLineChars="200"/>
        <w:jc w:val="left"/>
        <w:rPr>
          <w:rFonts w:hint="default" w:ascii="仿宋_GB2312" w:hAnsi="宋体" w:eastAsia="仿宋_GB2312"/>
          <w:kern w:val="0"/>
          <w:sz w:val="24"/>
          <w:highlight w:val="none"/>
        </w:rPr>
      </w:pPr>
    </w:p>
    <w:p>
      <w:pPr>
        <w:widowControl/>
        <w:spacing w:line="560" w:lineRule="atLeast"/>
        <w:ind w:right="-1100" w:firstLine="480" w:firstLineChars="200"/>
        <w:jc w:val="left"/>
        <w:rPr>
          <w:rFonts w:hint="default" w:ascii="仿宋_GB2312" w:hAnsi="宋体" w:eastAsia="仿宋_GB2312"/>
          <w:kern w:val="0"/>
          <w:sz w:val="24"/>
          <w:highlight w:val="none"/>
        </w:rPr>
      </w:pPr>
    </w:p>
    <w:p>
      <w:pPr>
        <w:widowControl/>
        <w:spacing w:line="560" w:lineRule="atLeast"/>
        <w:ind w:right="-1100" w:firstLine="480" w:firstLineChars="200"/>
        <w:jc w:val="left"/>
        <w:rPr>
          <w:rFonts w:hint="default" w:ascii="仿宋_GB2312" w:hAnsi="宋体" w:eastAsia="仿宋_GB2312"/>
          <w:kern w:val="0"/>
          <w:sz w:val="24"/>
          <w:highlight w:val="none"/>
        </w:rPr>
      </w:pPr>
    </w:p>
    <w:p>
      <w:pPr>
        <w:widowControl/>
        <w:spacing w:line="560" w:lineRule="atLeast"/>
        <w:ind w:right="-1100" w:firstLine="480" w:firstLineChars="200"/>
        <w:jc w:val="left"/>
        <w:rPr>
          <w:rFonts w:hint="default" w:ascii="仿宋_GB2312" w:hAnsi="宋体" w:eastAsia="仿宋_GB2312"/>
          <w:kern w:val="0"/>
          <w:sz w:val="24"/>
          <w:highlight w:val="none"/>
        </w:rPr>
      </w:pPr>
    </w:p>
    <w:p>
      <w:pPr>
        <w:widowControl/>
        <w:spacing w:line="560" w:lineRule="atLeast"/>
        <w:ind w:right="-1100" w:firstLine="480" w:firstLineChars="200"/>
        <w:jc w:val="left"/>
        <w:rPr>
          <w:rFonts w:hint="default" w:ascii="仿宋_GB2312" w:hAnsi="宋体" w:eastAsia="仿宋_GB2312"/>
          <w:kern w:val="0"/>
          <w:sz w:val="24"/>
          <w:highlight w:val="none"/>
        </w:rPr>
      </w:pPr>
    </w:p>
    <w:p>
      <w:pPr>
        <w:widowControl/>
        <w:spacing w:line="560" w:lineRule="atLeast"/>
        <w:ind w:right="-1100" w:firstLine="480" w:firstLineChars="200"/>
        <w:jc w:val="left"/>
        <w:rPr>
          <w:rFonts w:hint="default" w:ascii="仿宋_GB2312" w:hAnsi="宋体" w:eastAsia="仿宋_GB2312"/>
          <w:kern w:val="0"/>
          <w:sz w:val="24"/>
          <w:highlight w:val="none"/>
        </w:rPr>
      </w:pPr>
    </w:p>
    <w:p>
      <w:pPr>
        <w:pStyle w:val="2"/>
        <w:rPr>
          <w:rFonts w:hint="default"/>
        </w:rPr>
      </w:pPr>
    </w:p>
    <w:p>
      <w:pPr>
        <w:widowControl/>
        <w:spacing w:line="560" w:lineRule="atLeast"/>
        <w:ind w:right="-1100"/>
        <w:jc w:val="left"/>
        <w:rPr>
          <w:rFonts w:hint="default" w:ascii="仿宋_GB2312" w:hAnsi="宋体" w:eastAsia="仿宋_GB2312"/>
          <w:kern w:val="0"/>
          <w:sz w:val="24"/>
          <w:highlight w:val="none"/>
        </w:rPr>
      </w:pPr>
    </w:p>
    <w:p>
      <w:pPr>
        <w:widowControl/>
        <w:spacing w:line="560" w:lineRule="atLeast"/>
        <w:rPr>
          <w:rFonts w:hint="eastAsia" w:ascii="仿宋_GB2312" w:hAnsi="宋体" w:eastAsia="仿宋_GB2312"/>
          <w:kern w:val="0"/>
          <w:sz w:val="24"/>
          <w:highlight w:val="none"/>
        </w:rPr>
      </w:pPr>
      <w:r>
        <w:rPr>
          <w:rFonts w:hint="eastAsia" w:ascii="仿宋_GB2312" w:hAnsi="宋体" w:eastAsia="仿宋_GB2312"/>
          <w:kern w:val="0"/>
          <w:sz w:val="24"/>
          <w:highlight w:val="none"/>
        </w:rPr>
        <w:t>附件1-3</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4"/>
        <w:gridCol w:w="323"/>
        <w:gridCol w:w="370"/>
        <w:gridCol w:w="389"/>
        <w:gridCol w:w="735"/>
        <w:gridCol w:w="983"/>
        <w:gridCol w:w="2494"/>
        <w:gridCol w:w="1514"/>
        <w:gridCol w:w="236"/>
        <w:gridCol w:w="932"/>
        <w:gridCol w:w="1450"/>
        <w:gridCol w:w="1034"/>
        <w:gridCol w:w="329"/>
        <w:gridCol w:w="236"/>
        <w:gridCol w:w="568"/>
        <w:gridCol w:w="1103"/>
        <w:gridCol w:w="194"/>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434" w:type="dxa"/>
          <w:trHeight w:val="405" w:hRule="atLeast"/>
          <w:jc w:val="center"/>
        </w:trPr>
        <w:tc>
          <w:tcPr>
            <w:tcW w:w="13740" w:type="dxa"/>
            <w:gridSpan w:val="16"/>
            <w:tcBorders>
              <w:top w:val="nil"/>
              <w:left w:val="nil"/>
              <w:bottom w:val="nil"/>
              <w:right w:val="nil"/>
            </w:tcBorders>
            <w:shd w:val="clear" w:color="auto" w:fill="FFFFFF"/>
            <w:vAlign w:val="center"/>
          </w:tcPr>
          <w:p>
            <w:pPr>
              <w:widowControl/>
              <w:shd w:val="clear" w:color="auto" w:fill="FFFFFF"/>
              <w:jc w:val="center"/>
              <w:rPr>
                <w:rFonts w:hint="default" w:ascii="宋体"/>
                <w:b/>
                <w:color w:val="000000"/>
                <w:kern w:val="0"/>
                <w:highlight w:val="none"/>
                <w:shd w:val="clear" w:color="auto" w:fill="FFFFFF"/>
              </w:rPr>
            </w:pPr>
            <w:r>
              <w:rPr>
                <w:rFonts w:hint="eastAsia" w:ascii="宋体" w:hAnsi="宋体"/>
                <w:b/>
                <w:color w:val="000000"/>
                <w:kern w:val="0"/>
                <w:sz w:val="28"/>
                <w:highlight w:val="none"/>
                <w:shd w:val="clear" w:color="auto" w:fill="FFFFFF"/>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44" w:type="dxa"/>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highlight w:val="none"/>
                <w:shd w:val="clear" w:color="auto" w:fill="FFFFFF"/>
              </w:rPr>
            </w:pPr>
          </w:p>
        </w:tc>
        <w:tc>
          <w:tcPr>
            <w:tcW w:w="323" w:type="dxa"/>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highlight w:val="none"/>
                <w:shd w:val="clear" w:color="auto" w:fill="FFFFFF"/>
              </w:rPr>
            </w:pPr>
          </w:p>
        </w:tc>
        <w:tc>
          <w:tcPr>
            <w:tcW w:w="759" w:type="dxa"/>
            <w:gridSpan w:val="2"/>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highlight w:val="none"/>
                <w:shd w:val="clear" w:color="auto" w:fill="FFFFFF"/>
              </w:rPr>
            </w:pPr>
          </w:p>
        </w:tc>
        <w:tc>
          <w:tcPr>
            <w:tcW w:w="735" w:type="dxa"/>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highlight w:val="none"/>
                <w:shd w:val="clear" w:color="auto" w:fill="FFFFFF"/>
              </w:rPr>
            </w:pPr>
          </w:p>
        </w:tc>
        <w:tc>
          <w:tcPr>
            <w:tcW w:w="983" w:type="dxa"/>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highlight w:val="none"/>
                <w:shd w:val="clear" w:color="auto" w:fill="FFFFFF"/>
              </w:rPr>
            </w:pPr>
          </w:p>
        </w:tc>
        <w:tc>
          <w:tcPr>
            <w:tcW w:w="4008" w:type="dxa"/>
            <w:gridSpan w:val="2"/>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highlight w:val="none"/>
                <w:shd w:val="clear" w:color="auto" w:fill="FFFFFF"/>
              </w:rPr>
            </w:pPr>
          </w:p>
        </w:tc>
        <w:tc>
          <w:tcPr>
            <w:tcW w:w="236" w:type="dxa"/>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highlight w:val="none"/>
                <w:shd w:val="clear" w:color="auto" w:fill="FFFFFF"/>
              </w:rPr>
            </w:pPr>
          </w:p>
        </w:tc>
        <w:tc>
          <w:tcPr>
            <w:tcW w:w="3745" w:type="dxa"/>
            <w:gridSpan w:val="4"/>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highlight w:val="none"/>
                <w:shd w:val="clear" w:color="auto" w:fill="FFFFFF"/>
              </w:rPr>
            </w:pPr>
          </w:p>
        </w:tc>
        <w:tc>
          <w:tcPr>
            <w:tcW w:w="236" w:type="dxa"/>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highlight w:val="none"/>
                <w:shd w:val="clear" w:color="auto" w:fill="FFFFFF"/>
              </w:rPr>
            </w:pPr>
          </w:p>
        </w:tc>
        <w:tc>
          <w:tcPr>
            <w:tcW w:w="2105" w:type="dxa"/>
            <w:gridSpan w:val="4"/>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 xml:space="preserve">                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861" w:type="dxa"/>
            <w:gridSpan w:val="5"/>
            <w:tcBorders>
              <w:top w:val="nil"/>
              <w:left w:val="nil"/>
              <w:bottom w:val="nil"/>
              <w:right w:val="nil"/>
            </w:tcBorders>
            <w:shd w:val="clear" w:color="auto" w:fill="FFFFFF"/>
            <w:vAlign w:val="bottom"/>
          </w:tcPr>
          <w:p>
            <w:pPr>
              <w:widowControl/>
              <w:shd w:val="clear" w:color="auto" w:fill="FFFFFF"/>
              <w:jc w:val="left"/>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部门：</w:t>
            </w:r>
            <w:r>
              <w:rPr>
                <w:rFonts w:hint="eastAsia" w:ascii="宋体" w:hAnsi="宋体"/>
                <w:color w:val="000000"/>
                <w:kern w:val="0"/>
                <w:highlight w:val="none"/>
                <w:shd w:val="clear" w:color="auto" w:fill="FFFFFF"/>
                <w:lang w:eastAsia="zh-CN"/>
              </w:rPr>
              <w:t>沈阳市体育局本级</w:t>
            </w:r>
          </w:p>
        </w:tc>
        <w:tc>
          <w:tcPr>
            <w:tcW w:w="983" w:type="dxa"/>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highlight w:val="none"/>
                <w:shd w:val="clear" w:color="auto" w:fill="FFFFFF"/>
              </w:rPr>
            </w:pPr>
          </w:p>
        </w:tc>
        <w:tc>
          <w:tcPr>
            <w:tcW w:w="4008" w:type="dxa"/>
            <w:gridSpan w:val="2"/>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highlight w:val="none"/>
                <w:shd w:val="clear" w:color="auto" w:fill="FFFFFF"/>
              </w:rPr>
            </w:pPr>
          </w:p>
        </w:tc>
        <w:tc>
          <w:tcPr>
            <w:tcW w:w="236" w:type="dxa"/>
            <w:tcBorders>
              <w:top w:val="nil"/>
              <w:left w:val="nil"/>
              <w:bottom w:val="nil"/>
              <w:right w:val="nil"/>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p>
        </w:tc>
        <w:tc>
          <w:tcPr>
            <w:tcW w:w="3745" w:type="dxa"/>
            <w:gridSpan w:val="4"/>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highlight w:val="none"/>
                <w:shd w:val="clear" w:color="auto" w:fill="FFFFFF"/>
              </w:rPr>
            </w:pPr>
          </w:p>
        </w:tc>
        <w:tc>
          <w:tcPr>
            <w:tcW w:w="236" w:type="dxa"/>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highlight w:val="none"/>
                <w:shd w:val="clear" w:color="auto" w:fill="FFFFFF"/>
              </w:rPr>
            </w:pPr>
          </w:p>
        </w:tc>
        <w:tc>
          <w:tcPr>
            <w:tcW w:w="2105" w:type="dxa"/>
            <w:gridSpan w:val="4"/>
            <w:tcBorders>
              <w:top w:val="nil"/>
              <w:left w:val="nil"/>
              <w:bottom w:val="nil"/>
              <w:right w:val="nil"/>
            </w:tcBorders>
            <w:shd w:val="clear" w:color="auto" w:fill="FFFFFF"/>
            <w:vAlign w:val="center"/>
          </w:tcPr>
          <w:p>
            <w:pPr>
              <w:widowControl/>
              <w:shd w:val="clear" w:color="auto" w:fill="FFFFFF"/>
              <w:ind w:left="630" w:hanging="630" w:hangingChars="300"/>
              <w:jc w:val="both"/>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633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eastAsia="宋体"/>
                <w:color w:val="000000"/>
                <w:kern w:val="0"/>
                <w:highlight w:val="none"/>
                <w:shd w:val="clear" w:color="auto" w:fill="FFFFFF"/>
                <w:lang w:eastAsia="zh-CN"/>
              </w:rPr>
            </w:pPr>
            <w:r>
              <w:rPr>
                <w:rFonts w:hint="eastAsia" w:ascii="宋体" w:hAnsi="宋体"/>
                <w:color w:val="000000"/>
                <w:kern w:val="0"/>
                <w:highlight w:val="none"/>
                <w:shd w:val="clear" w:color="auto" w:fill="FFFFFF"/>
                <w:lang w:val="en-US" w:eastAsia="zh-CN"/>
              </w:rPr>
              <w:t>项目</w:t>
            </w:r>
          </w:p>
        </w:tc>
        <w:tc>
          <w:tcPr>
            <w:tcW w:w="1514" w:type="dxa"/>
            <w:vMerge w:val="restart"/>
            <w:tcBorders>
              <w:top w:val="single" w:color="000000" w:sz="4" w:space="0"/>
              <w:left w:val="nil"/>
              <w:right w:val="single" w:color="000000" w:sz="4" w:space="0"/>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本年支出合计</w:t>
            </w:r>
          </w:p>
        </w:tc>
        <w:tc>
          <w:tcPr>
            <w:tcW w:w="1168" w:type="dxa"/>
            <w:gridSpan w:val="2"/>
            <w:vMerge w:val="restart"/>
            <w:tcBorders>
              <w:top w:val="single" w:color="000000" w:sz="4" w:space="0"/>
              <w:left w:val="nil"/>
              <w:right w:val="single" w:color="000000" w:sz="4" w:space="0"/>
            </w:tcBorders>
            <w:shd w:val="clear" w:color="auto" w:fill="auto"/>
            <w:vAlign w:val="center"/>
          </w:tcPr>
          <w:p>
            <w:pPr>
              <w:widowControl/>
              <w:jc w:val="center"/>
              <w:rPr>
                <w:rFonts w:hint="default" w:ascii="宋体"/>
                <w:color w:val="000000"/>
                <w:kern w:val="0"/>
                <w:highlight w:val="none"/>
              </w:rPr>
            </w:pPr>
            <w:r>
              <w:rPr>
                <w:rFonts w:hint="eastAsia" w:ascii="宋体" w:hAnsi="宋体"/>
                <w:color w:val="000000"/>
                <w:kern w:val="0"/>
                <w:highlight w:val="none"/>
              </w:rPr>
              <w:t>基本支出</w:t>
            </w:r>
          </w:p>
        </w:tc>
        <w:tc>
          <w:tcPr>
            <w:tcW w:w="1450" w:type="dxa"/>
            <w:vMerge w:val="restart"/>
            <w:tcBorders>
              <w:top w:val="single" w:color="000000" w:sz="4" w:space="0"/>
              <w:left w:val="nil"/>
              <w:right w:val="single" w:color="000000" w:sz="4" w:space="0"/>
            </w:tcBorders>
            <w:shd w:val="clear" w:color="auto" w:fill="auto"/>
            <w:vAlign w:val="center"/>
          </w:tcPr>
          <w:p>
            <w:pPr>
              <w:widowControl/>
              <w:jc w:val="center"/>
              <w:rPr>
                <w:rFonts w:hint="default" w:ascii="宋体"/>
                <w:color w:val="000000"/>
                <w:kern w:val="0"/>
                <w:highlight w:val="none"/>
              </w:rPr>
            </w:pPr>
            <w:r>
              <w:rPr>
                <w:rFonts w:hint="eastAsia" w:ascii="宋体" w:hAnsi="宋体"/>
                <w:color w:val="000000"/>
                <w:kern w:val="0"/>
                <w:highlight w:val="none"/>
              </w:rPr>
              <w:t>项目支出</w:t>
            </w:r>
          </w:p>
        </w:tc>
        <w:tc>
          <w:tcPr>
            <w:tcW w:w="1034" w:type="dxa"/>
            <w:vMerge w:val="restart"/>
            <w:tcBorders>
              <w:top w:val="single" w:color="000000" w:sz="4" w:space="0"/>
              <w:left w:val="nil"/>
              <w:right w:val="single" w:color="000000" w:sz="4" w:space="0"/>
            </w:tcBorders>
            <w:shd w:val="clear" w:color="auto" w:fill="auto"/>
            <w:vAlign w:val="center"/>
          </w:tcPr>
          <w:p>
            <w:pPr>
              <w:widowControl/>
              <w:jc w:val="center"/>
              <w:rPr>
                <w:rFonts w:hint="default" w:ascii="宋体"/>
                <w:color w:val="000000"/>
                <w:kern w:val="0"/>
                <w:highlight w:val="none"/>
              </w:rPr>
            </w:pPr>
            <w:r>
              <w:rPr>
                <w:rFonts w:hint="eastAsia" w:ascii="宋体" w:hAnsi="宋体"/>
                <w:color w:val="000000"/>
                <w:kern w:val="0"/>
                <w:highlight w:val="none"/>
              </w:rPr>
              <w:t>上缴上级支出</w:t>
            </w:r>
          </w:p>
        </w:tc>
        <w:tc>
          <w:tcPr>
            <w:tcW w:w="1133" w:type="dxa"/>
            <w:gridSpan w:val="3"/>
            <w:vMerge w:val="restart"/>
            <w:tcBorders>
              <w:top w:val="single" w:color="000000" w:sz="4" w:space="0"/>
              <w:left w:val="nil"/>
              <w:right w:val="single" w:color="000000" w:sz="4" w:space="0"/>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经营支出</w:t>
            </w:r>
          </w:p>
        </w:tc>
        <w:tc>
          <w:tcPr>
            <w:tcW w:w="1297" w:type="dxa"/>
            <w:gridSpan w:val="2"/>
            <w:vMerge w:val="restart"/>
            <w:tcBorders>
              <w:top w:val="single" w:color="000000" w:sz="4" w:space="0"/>
              <w:left w:val="nil"/>
              <w:right w:val="single" w:color="000000" w:sz="4" w:space="0"/>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对附属单位补助支出</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olor w:val="000000"/>
                <w:kern w:val="0"/>
                <w:highlight w:val="none"/>
                <w:shd w:val="clear" w:color="auto" w:fill="FFFFFF"/>
                <w:lang w:val="en-US" w:eastAsia="zh-CN"/>
              </w:rPr>
            </w:pPr>
            <w:r>
              <w:rPr>
                <w:rFonts w:hint="eastAsia" w:ascii="宋体" w:hAnsi="宋体"/>
                <w:color w:val="000000"/>
                <w:kern w:val="0"/>
                <w:highlight w:val="none"/>
                <w:shd w:val="clear" w:color="auto" w:fill="FFFFFF"/>
                <w:lang w:val="en-US" w:eastAsia="zh-CN"/>
              </w:rPr>
              <w:t>功能分类</w:t>
            </w:r>
          </w:p>
          <w:p>
            <w:pPr>
              <w:widowControl/>
              <w:shd w:val="clear" w:color="auto" w:fill="FFFFFF"/>
              <w:jc w:val="center"/>
              <w:rPr>
                <w:rFonts w:hint="eastAsia" w:ascii="宋体" w:hAnsi="宋体" w:eastAsia="宋体"/>
                <w:color w:val="000000"/>
                <w:kern w:val="0"/>
                <w:highlight w:val="none"/>
                <w:shd w:val="clear" w:color="auto" w:fill="FFFFFF"/>
                <w:lang w:val="en-US" w:eastAsia="zh-CN"/>
              </w:rPr>
            </w:pPr>
            <w:r>
              <w:rPr>
                <w:rFonts w:hint="eastAsia" w:ascii="宋体" w:hAnsi="宋体"/>
                <w:color w:val="000000"/>
                <w:kern w:val="0"/>
                <w:highlight w:val="none"/>
                <w:shd w:val="clear" w:color="auto" w:fill="FFFFFF"/>
                <w:lang w:val="en-US" w:eastAsia="zh-CN"/>
              </w:rPr>
              <w:t>科目编码</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eastAsia="宋体"/>
                <w:color w:val="000000"/>
                <w:kern w:val="0"/>
                <w:highlight w:val="none"/>
                <w:shd w:val="clear" w:color="auto" w:fill="FFFFFF"/>
                <w:lang w:val="en-US" w:eastAsia="zh-CN"/>
              </w:rPr>
            </w:pPr>
            <w:r>
              <w:rPr>
                <w:rFonts w:hint="eastAsia" w:ascii="宋体" w:hAnsi="宋体"/>
                <w:color w:val="000000"/>
                <w:kern w:val="0"/>
                <w:highlight w:val="none"/>
                <w:shd w:val="clear" w:color="auto" w:fill="FFFFFF"/>
                <w:lang w:val="en-US" w:eastAsia="zh-CN"/>
              </w:rPr>
              <w:t>科目名称</w:t>
            </w:r>
          </w:p>
        </w:tc>
        <w:tc>
          <w:tcPr>
            <w:tcW w:w="1514" w:type="dxa"/>
            <w:vMerge w:val="continue"/>
            <w:tcBorders>
              <w:left w:val="nil"/>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olor w:val="000000"/>
                <w:kern w:val="0"/>
                <w:highlight w:val="none"/>
                <w:shd w:val="clear" w:color="auto" w:fill="FFFFFF"/>
              </w:rPr>
            </w:pPr>
          </w:p>
        </w:tc>
        <w:tc>
          <w:tcPr>
            <w:tcW w:w="1168" w:type="dxa"/>
            <w:gridSpan w:val="2"/>
            <w:vMerge w:val="continue"/>
            <w:tcBorders>
              <w:left w:val="nil"/>
              <w:bottom w:val="single" w:color="000000" w:sz="4" w:space="0"/>
              <w:right w:val="single" w:color="000000" w:sz="4" w:space="0"/>
            </w:tcBorders>
            <w:shd w:val="clear" w:color="auto" w:fill="auto"/>
            <w:vAlign w:val="center"/>
          </w:tcPr>
          <w:p>
            <w:pPr>
              <w:widowControl/>
              <w:jc w:val="center"/>
              <w:rPr>
                <w:rFonts w:hint="eastAsia" w:ascii="宋体" w:hAnsi="宋体"/>
                <w:color w:val="000000"/>
                <w:kern w:val="0"/>
                <w:highlight w:val="none"/>
              </w:rPr>
            </w:pPr>
          </w:p>
        </w:tc>
        <w:tc>
          <w:tcPr>
            <w:tcW w:w="1450"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宋体" w:hAnsi="宋体"/>
                <w:color w:val="000000"/>
                <w:kern w:val="0"/>
                <w:highlight w:val="none"/>
              </w:rPr>
            </w:pPr>
          </w:p>
        </w:tc>
        <w:tc>
          <w:tcPr>
            <w:tcW w:w="1034"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宋体" w:hAnsi="宋体"/>
                <w:color w:val="000000"/>
                <w:kern w:val="0"/>
                <w:highlight w:val="none"/>
              </w:rPr>
            </w:pPr>
          </w:p>
        </w:tc>
        <w:tc>
          <w:tcPr>
            <w:tcW w:w="1133" w:type="dxa"/>
            <w:gridSpan w:val="3"/>
            <w:vMerge w:val="continue"/>
            <w:tcBorders>
              <w:left w:val="nil"/>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olor w:val="000000"/>
                <w:kern w:val="0"/>
                <w:highlight w:val="none"/>
                <w:shd w:val="clear" w:color="auto" w:fill="FFFFFF"/>
              </w:rPr>
            </w:pPr>
          </w:p>
        </w:tc>
        <w:tc>
          <w:tcPr>
            <w:tcW w:w="1297" w:type="dxa"/>
            <w:gridSpan w:val="2"/>
            <w:vMerge w:val="continue"/>
            <w:tcBorders>
              <w:left w:val="nil"/>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olor w:val="000000"/>
                <w:kern w:val="0"/>
                <w:highlight w:val="none"/>
                <w:shd w:val="clear" w:color="auto" w:fill="FFFFFF"/>
              </w:rPr>
            </w:pP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338" w:type="dxa"/>
            <w:gridSpan w:val="7"/>
            <w:tcBorders>
              <w:top w:val="nil"/>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栏次</w:t>
            </w:r>
          </w:p>
        </w:tc>
        <w:tc>
          <w:tcPr>
            <w:tcW w:w="1514" w:type="dxa"/>
            <w:tcBorders>
              <w:top w:val="single" w:color="000000" w:sz="4" w:space="0"/>
              <w:left w:val="nil"/>
              <w:bottom w:val="single" w:color="000000" w:sz="4" w:space="0"/>
              <w:right w:val="single" w:color="000000" w:sz="4" w:space="0"/>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1</w:t>
            </w:r>
          </w:p>
        </w:tc>
        <w:tc>
          <w:tcPr>
            <w:tcW w:w="1168" w:type="dxa"/>
            <w:gridSpan w:val="2"/>
            <w:tcBorders>
              <w:top w:val="single" w:color="000000" w:sz="4" w:space="0"/>
              <w:left w:val="nil"/>
              <w:bottom w:val="single" w:color="000000" w:sz="4" w:space="0"/>
              <w:right w:val="single" w:color="000000" w:sz="4" w:space="0"/>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2</w:t>
            </w:r>
          </w:p>
        </w:tc>
        <w:tc>
          <w:tcPr>
            <w:tcW w:w="1450" w:type="dxa"/>
            <w:tcBorders>
              <w:top w:val="single" w:color="000000" w:sz="4" w:space="0"/>
              <w:left w:val="nil"/>
              <w:bottom w:val="single" w:color="000000" w:sz="4" w:space="0"/>
              <w:right w:val="single" w:color="000000" w:sz="4" w:space="0"/>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3</w:t>
            </w:r>
          </w:p>
        </w:tc>
        <w:tc>
          <w:tcPr>
            <w:tcW w:w="1034" w:type="dxa"/>
            <w:tcBorders>
              <w:top w:val="single" w:color="000000" w:sz="4" w:space="0"/>
              <w:left w:val="nil"/>
              <w:bottom w:val="single" w:color="000000" w:sz="4" w:space="0"/>
              <w:right w:val="single" w:color="000000" w:sz="4" w:space="0"/>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4</w:t>
            </w:r>
          </w:p>
        </w:tc>
        <w:tc>
          <w:tcPr>
            <w:tcW w:w="1133" w:type="dxa"/>
            <w:gridSpan w:val="3"/>
            <w:tcBorders>
              <w:top w:val="single" w:color="000000" w:sz="4" w:space="0"/>
              <w:left w:val="nil"/>
              <w:bottom w:val="single" w:color="000000" w:sz="4" w:space="0"/>
              <w:right w:val="single" w:color="000000" w:sz="4" w:space="0"/>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5</w:t>
            </w:r>
          </w:p>
        </w:tc>
        <w:tc>
          <w:tcPr>
            <w:tcW w:w="1297" w:type="dxa"/>
            <w:gridSpan w:val="2"/>
            <w:tcBorders>
              <w:top w:val="single" w:color="000000" w:sz="4" w:space="0"/>
              <w:left w:val="nil"/>
              <w:bottom w:val="single" w:color="000000" w:sz="4" w:space="0"/>
              <w:right w:val="single" w:color="000000" w:sz="4" w:space="0"/>
            </w:tcBorders>
            <w:shd w:val="clear" w:color="auto" w:fill="FFFFFF"/>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6</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338" w:type="dxa"/>
            <w:gridSpan w:val="7"/>
            <w:tcBorders>
              <w:top w:val="nil"/>
              <w:left w:val="single" w:color="000000" w:sz="4" w:space="0"/>
              <w:bottom w:val="single" w:color="000000" w:sz="4" w:space="0"/>
              <w:right w:val="single" w:color="000000" w:sz="4" w:space="0"/>
            </w:tcBorders>
            <w:shd w:val="clear" w:color="auto" w:fill="auto"/>
            <w:vAlign w:val="center"/>
          </w:tcPr>
          <w:p>
            <w:pPr>
              <w:widowControl/>
              <w:shd w:val="clear" w:color="auto" w:fill="FFFFFF"/>
              <w:jc w:val="center"/>
              <w:rPr>
                <w:rFonts w:hint="default" w:ascii="宋体"/>
                <w:color w:val="000000"/>
                <w:kern w:val="0"/>
                <w:highlight w:val="none"/>
                <w:shd w:val="clear" w:color="auto" w:fill="FFFFFF"/>
              </w:rPr>
            </w:pPr>
            <w:r>
              <w:rPr>
                <w:rFonts w:hint="eastAsia" w:ascii="宋体" w:hAnsi="宋体"/>
                <w:color w:val="000000"/>
                <w:kern w:val="0"/>
                <w:highlight w:val="none"/>
                <w:shd w:val="clear" w:color="auto" w:fill="FFFFFF"/>
              </w:rPr>
              <w:t>合计</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5,756.64</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1,917.17</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3,839.47</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207</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文化旅游体育与传媒支出</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2,300.96</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1,646.63</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654.34</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20703</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体育</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1,800.96</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1,646.63</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154.34</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2070301</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行政运行</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1,646.63</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1,646.63</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2070302</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38.50</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38.50</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2070399</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其他体育支出</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115.84</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115.84</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20799</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其他文化旅游体育与传媒支出</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500.00</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500.00</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2079999</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其他文化旅游体育与传媒支出</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500.00</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500.00</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208</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社会保障和就业支出</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115.82</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115.82</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20805</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行政事业单位养老支出</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115.82</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115.82</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2080501</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43.07</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43.07</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2080505</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72.75</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72.75</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210</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卫生健康支出</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21011</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行政事业单位医疗</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2101101</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行政单位医疗</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221</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住房保障支出</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119.70</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119.70</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22102</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住房改革支出</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119.70</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119.70</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2210201</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住房公积金</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102.90</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102.90</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2210203</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购房补贴</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16.80</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16.80</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229</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其他支出</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3,185.14</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3,185.14</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22960</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彩票公益金安排的支出</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3,185.14</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3,185.14</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2296003</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用于体育事业的彩票公益金支出</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3,185.14</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3,185.14</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207</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文化旅游体育与传媒支出</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2,300.96</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1,646.63</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654.34</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20703</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体育</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1,800.96</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1,646.63</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154.34</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2070301</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行政运行</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1,646.63</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1,646.63</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2070302</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38.50</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38.50</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2070399</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其他体育支出</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115.84</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115.84</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20799</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其他文化旅游体育与传媒支出</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500.00</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500.00</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2079999</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其他文化旅游体育与传媒支出</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500.00</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500.00</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208</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社会保障和就业支出</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115.82</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115.82</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20805</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行政事业单位养老支出</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115.82</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115.82</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2080501</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43.07</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43.07</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2080505</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72.75</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72.75</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210</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卫生健康支出</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21011</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行政事业单位医疗</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2101101</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行政单位医疗</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221</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住房保障支出</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119.70</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119.70</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22102</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住房改革支出</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119.70</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119.70</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2210201</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住房公积金</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102.90</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102.90</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2210203</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 xml:space="preserve">  购房补贴</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16.80</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16.80</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229</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其他支出</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3,185.14</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3,185.14</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22960</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彩票公益金安排的支出</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3,185.14</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3,185.14</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2296003</w:t>
            </w:r>
          </w:p>
        </w:tc>
        <w:tc>
          <w:tcPr>
            <w:tcW w:w="4601"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用于体育事业的彩票公益金支出</w:t>
            </w:r>
          </w:p>
        </w:tc>
        <w:tc>
          <w:tcPr>
            <w:tcW w:w="151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3,185.14</w:t>
            </w:r>
          </w:p>
        </w:tc>
        <w:tc>
          <w:tcPr>
            <w:tcW w:w="1168"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45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3,185.14</w:t>
            </w:r>
          </w:p>
        </w:tc>
        <w:tc>
          <w:tcPr>
            <w:tcW w:w="10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133"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297"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240" w:type="dxa"/>
            <w:tcBorders>
              <w:top w:val="nil"/>
              <w:left w:val="nil"/>
              <w:bottom w:val="nil"/>
              <w:right w:val="nil"/>
            </w:tcBorders>
            <w:vAlign w:val="center"/>
          </w:tcPr>
          <w:p>
            <w:pPr>
              <w:widowControl/>
              <w:jc w:val="left"/>
              <w:rPr>
                <w:rFonts w:hint="default" w:eastAsia="Times New Roman"/>
                <w:kern w:val="0"/>
                <w:sz w:val="20"/>
                <w:highlight w:val="none"/>
              </w:rPr>
            </w:pPr>
          </w:p>
        </w:tc>
      </w:tr>
    </w:tbl>
    <w:p>
      <w:pPr>
        <w:widowControl/>
        <w:spacing w:line="56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注：1.本表反映部门本年度各项支出情况。</w:t>
      </w:r>
      <w:r>
        <w:rPr>
          <w:rFonts w:hint="eastAsia" w:ascii="宋体" w:hAnsi="宋体" w:cs="宋体"/>
          <w:kern w:val="0"/>
          <w:sz w:val="21"/>
          <w:szCs w:val="21"/>
          <w:highlight w:val="none"/>
          <w:lang w:val="en-US" w:eastAsia="zh-CN"/>
        </w:rPr>
        <w:t>2.</w:t>
      </w:r>
      <w:r>
        <w:rPr>
          <w:rFonts w:hint="eastAsia" w:ascii="宋体" w:hAnsi="宋体" w:eastAsia="宋体" w:cs="宋体"/>
          <w:kern w:val="0"/>
          <w:sz w:val="21"/>
          <w:szCs w:val="21"/>
          <w:highlight w:val="none"/>
        </w:rPr>
        <w:t>本套报表金额单位转换时可能存在尾数误差。3.如本表为空，则我部门本年度无此类资金收支余。</w:t>
      </w:r>
    </w:p>
    <w:p>
      <w:pPr>
        <w:widowControl/>
        <w:spacing w:line="560" w:lineRule="atLeast"/>
        <w:ind w:right="-1100"/>
        <w:jc w:val="left"/>
        <w:rPr>
          <w:rFonts w:hint="default" w:ascii="仿宋_GB2312" w:hAnsi="宋体" w:eastAsia="仿宋_GB2312"/>
          <w:kern w:val="0"/>
          <w:sz w:val="24"/>
          <w:highlight w:val="none"/>
        </w:rPr>
      </w:pPr>
    </w:p>
    <w:p>
      <w:pPr>
        <w:widowControl/>
        <w:spacing w:line="560" w:lineRule="atLeast"/>
        <w:ind w:right="-1100"/>
        <w:jc w:val="left"/>
        <w:rPr>
          <w:rFonts w:hint="default" w:ascii="仿宋_GB2312" w:hAnsi="宋体" w:eastAsia="仿宋_GB2312"/>
          <w:kern w:val="0"/>
          <w:sz w:val="24"/>
          <w:highlight w:val="none"/>
        </w:rPr>
      </w:pPr>
    </w:p>
    <w:p>
      <w:pPr>
        <w:widowControl/>
        <w:spacing w:line="560" w:lineRule="atLeast"/>
        <w:ind w:right="-1100"/>
        <w:jc w:val="left"/>
        <w:rPr>
          <w:rFonts w:hint="default" w:ascii="仿宋_GB2312" w:hAnsi="宋体" w:eastAsia="仿宋_GB2312"/>
          <w:kern w:val="0"/>
          <w:sz w:val="24"/>
          <w:highlight w:val="none"/>
        </w:rPr>
      </w:pPr>
    </w:p>
    <w:p>
      <w:pPr>
        <w:widowControl/>
        <w:spacing w:line="560" w:lineRule="atLeast"/>
        <w:ind w:right="-1100"/>
        <w:jc w:val="left"/>
        <w:rPr>
          <w:rFonts w:hint="default" w:ascii="仿宋_GB2312" w:hAnsi="宋体" w:eastAsia="仿宋_GB2312"/>
          <w:kern w:val="0"/>
          <w:sz w:val="24"/>
          <w:highlight w:val="none"/>
        </w:rPr>
      </w:pPr>
    </w:p>
    <w:p>
      <w:pPr>
        <w:widowControl/>
        <w:spacing w:line="560" w:lineRule="atLeast"/>
        <w:ind w:right="-1100"/>
        <w:jc w:val="left"/>
        <w:rPr>
          <w:rFonts w:hint="eastAsia" w:ascii="仿宋_GB2312" w:hAnsi="宋体" w:eastAsia="仿宋_GB2312"/>
          <w:kern w:val="0"/>
          <w:sz w:val="24"/>
          <w:highlight w:val="none"/>
        </w:rPr>
      </w:pPr>
      <w:r>
        <w:rPr>
          <w:rFonts w:hint="eastAsia" w:ascii="仿宋_GB2312" w:hAnsi="宋体" w:eastAsia="仿宋_GB2312"/>
          <w:kern w:val="0"/>
          <w:sz w:val="24"/>
          <w:highlight w:val="none"/>
        </w:rPr>
        <w:t>附件1-4</w:t>
      </w:r>
    </w:p>
    <w:tbl>
      <w:tblPr>
        <w:tblStyle w:val="5"/>
        <w:tblW w:w="14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82"/>
        <w:gridCol w:w="1048"/>
        <w:gridCol w:w="1203"/>
        <w:gridCol w:w="640"/>
        <w:gridCol w:w="240"/>
        <w:gridCol w:w="1643"/>
        <w:gridCol w:w="906"/>
        <w:gridCol w:w="825"/>
        <w:gridCol w:w="1576"/>
        <w:gridCol w:w="1134"/>
        <w:gridCol w:w="1316"/>
        <w:gridCol w:w="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exact"/>
        </w:trPr>
        <w:tc>
          <w:tcPr>
            <w:tcW w:w="14781" w:type="dxa"/>
            <w:gridSpan w:val="12"/>
            <w:tcBorders>
              <w:top w:val="nil"/>
              <w:left w:val="nil"/>
              <w:bottom w:val="nil"/>
              <w:right w:val="nil"/>
            </w:tcBorders>
            <w:vAlign w:val="center"/>
          </w:tcPr>
          <w:p>
            <w:pPr>
              <w:keepNext w:val="0"/>
              <w:keepLines w:val="0"/>
              <w:widowControl/>
              <w:suppressLineNumbers w:val="0"/>
              <w:jc w:val="center"/>
              <w:textAlignment w:val="center"/>
              <w:rPr>
                <w:rFonts w:hint="default" w:ascii="宋体"/>
                <w:b/>
                <w:color w:val="000000"/>
                <w:kern w:val="0"/>
                <w:highlight w:val="none"/>
              </w:rPr>
            </w:pPr>
            <w:r>
              <w:rPr>
                <w:rFonts w:hint="eastAsia" w:ascii="宋体" w:hAnsi="宋体" w:eastAsia="宋体" w:cs="宋体"/>
                <w:b/>
                <w:i w:val="0"/>
                <w:color w:val="000000"/>
                <w:kern w:val="0"/>
                <w:sz w:val="28"/>
                <w:szCs w:val="28"/>
                <w:highlight w:val="none"/>
                <w:u w:val="none"/>
                <w:lang w:val="en-US" w:eastAsia="zh-CN" w:bidi="ar-SA"/>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14781" w:type="dxa"/>
            <w:gridSpan w:val="12"/>
            <w:tcBorders>
              <w:top w:val="nil"/>
              <w:left w:val="nil"/>
              <w:bottom w:val="nil"/>
              <w:right w:val="nil"/>
            </w:tcBorders>
            <w:vAlign w:val="center"/>
          </w:tcPr>
          <w:p>
            <w:pPr>
              <w:keepNext w:val="0"/>
              <w:keepLines w:val="0"/>
              <w:widowControl/>
              <w:suppressLineNumbers w:val="0"/>
              <w:jc w:val="right"/>
              <w:textAlignment w:val="center"/>
              <w:rPr>
                <w:rFonts w:hint="eastAsia" w:ascii="宋体" w:hAnsi="宋体" w:eastAsia="宋体" w:cs="宋体"/>
                <w:b/>
                <w:i w:val="0"/>
                <w:color w:val="000000"/>
                <w:kern w:val="0"/>
                <w:sz w:val="28"/>
                <w:szCs w:val="28"/>
                <w:highlight w:val="none"/>
                <w:u w:val="none"/>
                <w:lang w:val="en-US" w:eastAsia="zh-CN" w:bidi="ar-SA"/>
              </w:rPr>
            </w:pPr>
            <w:r>
              <w:rPr>
                <w:rStyle w:val="14"/>
                <w:highlight w:val="none"/>
                <w:lang w:val="en-US" w:eastAsia="zh-CN" w:bidi="ar-SA"/>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nil"/>
              <w:left w:val="nil"/>
              <w:bottom w:val="nil"/>
              <w:right w:val="nil"/>
            </w:tcBorders>
            <w:shd w:val="clear" w:color="auto" w:fill="FFFFFF"/>
            <w:vAlign w:val="center"/>
          </w:tcPr>
          <w:p>
            <w:pPr>
              <w:jc w:val="left"/>
              <w:rPr>
                <w:rFonts w:hint="default" w:ascii="宋体"/>
                <w:color w:val="000000"/>
                <w:kern w:val="0"/>
                <w:highlight w:val="none"/>
                <w:shd w:val="clear" w:color="auto" w:fill="FFFFFF"/>
              </w:rPr>
            </w:pPr>
            <w:r>
              <w:rPr>
                <w:rFonts w:hint="eastAsia" w:ascii="宋体" w:hAnsi="宋体" w:eastAsia="宋体" w:cs="宋体"/>
                <w:i w:val="0"/>
                <w:color w:val="000000"/>
                <w:kern w:val="0"/>
                <w:sz w:val="21"/>
                <w:szCs w:val="21"/>
                <w:highlight w:val="none"/>
                <w:u w:val="none"/>
                <w:lang w:val="en-US" w:eastAsia="zh-CN" w:bidi="ar-SA"/>
              </w:rPr>
              <w:t>部门：</w:t>
            </w:r>
            <w:r>
              <w:rPr>
                <w:rFonts w:hint="eastAsia" w:ascii="宋体" w:hAnsi="宋体"/>
                <w:color w:val="000000"/>
                <w:kern w:val="0"/>
                <w:highlight w:val="none"/>
                <w:shd w:val="clear" w:color="auto" w:fill="FFFFFF"/>
                <w:lang w:eastAsia="zh-CN"/>
              </w:rPr>
              <w:t>沈阳市体育局本级</w:t>
            </w:r>
          </w:p>
        </w:tc>
        <w:tc>
          <w:tcPr>
            <w:tcW w:w="2251" w:type="dxa"/>
            <w:gridSpan w:val="2"/>
            <w:tcBorders>
              <w:top w:val="nil"/>
              <w:left w:val="nil"/>
              <w:bottom w:val="nil"/>
              <w:right w:val="nil"/>
            </w:tcBorders>
            <w:shd w:val="clear" w:color="auto" w:fill="FFFFFF"/>
            <w:vAlign w:val="center"/>
          </w:tcPr>
          <w:p>
            <w:pPr>
              <w:jc w:val="right"/>
              <w:rPr>
                <w:rFonts w:hint="default" w:ascii="宋体"/>
                <w:color w:val="000000"/>
                <w:kern w:val="0"/>
                <w:highlight w:val="none"/>
                <w:shd w:val="clear" w:color="auto" w:fill="FFFFFF"/>
              </w:rPr>
            </w:pPr>
          </w:p>
        </w:tc>
        <w:tc>
          <w:tcPr>
            <w:tcW w:w="640" w:type="dxa"/>
            <w:tcBorders>
              <w:top w:val="nil"/>
              <w:left w:val="nil"/>
              <w:bottom w:val="nil"/>
              <w:right w:val="nil"/>
            </w:tcBorders>
            <w:shd w:val="clear" w:color="auto" w:fill="FFFFFF"/>
            <w:vAlign w:val="center"/>
          </w:tcPr>
          <w:p>
            <w:pPr>
              <w:jc w:val="right"/>
              <w:rPr>
                <w:rFonts w:hint="default" w:ascii="宋体"/>
                <w:color w:val="000000"/>
                <w:kern w:val="0"/>
                <w:highlight w:val="none"/>
                <w:shd w:val="clear" w:color="auto" w:fill="FFFFFF"/>
              </w:rPr>
            </w:pPr>
          </w:p>
        </w:tc>
        <w:tc>
          <w:tcPr>
            <w:tcW w:w="240" w:type="dxa"/>
            <w:tcBorders>
              <w:top w:val="nil"/>
              <w:left w:val="nil"/>
              <w:bottom w:val="nil"/>
              <w:right w:val="nil"/>
            </w:tcBorders>
            <w:shd w:val="clear" w:color="auto" w:fill="FFFFFF"/>
            <w:vAlign w:val="center"/>
          </w:tcPr>
          <w:p>
            <w:pPr>
              <w:jc w:val="right"/>
              <w:rPr>
                <w:rFonts w:hint="default" w:ascii="宋体"/>
                <w:color w:val="000000"/>
                <w:kern w:val="0"/>
                <w:highlight w:val="none"/>
                <w:shd w:val="clear" w:color="auto" w:fill="FFFFFF"/>
              </w:rPr>
            </w:pPr>
          </w:p>
        </w:tc>
        <w:tc>
          <w:tcPr>
            <w:tcW w:w="1643" w:type="dxa"/>
            <w:tcBorders>
              <w:top w:val="nil"/>
              <w:left w:val="nil"/>
              <w:bottom w:val="nil"/>
              <w:right w:val="nil"/>
            </w:tcBorders>
            <w:shd w:val="clear" w:color="auto" w:fill="FFFFFF"/>
            <w:vAlign w:val="center"/>
          </w:tcPr>
          <w:p>
            <w:pPr>
              <w:jc w:val="right"/>
              <w:rPr>
                <w:rFonts w:hint="default" w:ascii="宋体"/>
                <w:color w:val="000000"/>
                <w:kern w:val="0"/>
                <w:highlight w:val="none"/>
                <w:shd w:val="clear" w:color="auto" w:fill="FFFFFF"/>
              </w:rPr>
            </w:pPr>
          </w:p>
        </w:tc>
        <w:tc>
          <w:tcPr>
            <w:tcW w:w="6725" w:type="dxa"/>
            <w:gridSpan w:val="6"/>
            <w:tcBorders>
              <w:top w:val="nil"/>
              <w:left w:val="nil"/>
              <w:bottom w:val="nil"/>
              <w:right w:val="nil"/>
            </w:tcBorders>
            <w:shd w:val="clear" w:color="auto" w:fill="FFFFFF"/>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1"/>
                <w:szCs w:val="21"/>
                <w:highlight w:val="none"/>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41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1"/>
                <w:szCs w:val="21"/>
                <w:highlight w:val="none"/>
                <w:u w:val="none"/>
                <w:lang w:val="en-US" w:eastAsia="zh-CN" w:bidi="ar-SA"/>
              </w:rPr>
              <w:t>收  入</w:t>
            </w:r>
          </w:p>
        </w:tc>
        <w:tc>
          <w:tcPr>
            <w:tcW w:w="8368" w:type="dxa"/>
            <w:gridSpan w:val="7"/>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1"/>
                <w:szCs w:val="21"/>
                <w:highlight w:val="none"/>
                <w:u w:val="none"/>
                <w:lang w:val="en-US" w:eastAsia="zh-CN" w:bidi="ar-SA"/>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exact"/>
        </w:trPr>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1"/>
                <w:szCs w:val="21"/>
                <w:highlight w:val="none"/>
                <w:u w:val="none"/>
                <w:lang w:val="en-US" w:eastAsia="zh-CN" w:bidi="ar-SA"/>
              </w:rPr>
              <w:t>项    目</w:t>
            </w: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1"/>
                <w:szCs w:val="21"/>
                <w:highlight w:val="none"/>
                <w:u w:val="none"/>
                <w:lang w:val="en-US" w:eastAsia="zh-CN" w:bidi="ar-SA"/>
              </w:rPr>
              <w:t>行次</w:t>
            </w:r>
          </w:p>
        </w:tc>
        <w:tc>
          <w:tcPr>
            <w:tcW w:w="2083" w:type="dxa"/>
            <w:gridSpan w:val="3"/>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1"/>
                <w:szCs w:val="21"/>
                <w:highlight w:val="none"/>
                <w:u w:val="none"/>
                <w:lang w:val="en-US" w:eastAsia="zh-CN" w:bidi="ar-SA"/>
              </w:rPr>
              <w:t>金额</w:t>
            </w:r>
          </w:p>
        </w:tc>
        <w:tc>
          <w:tcPr>
            <w:tcW w:w="2549"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1"/>
                <w:szCs w:val="21"/>
                <w:highlight w:val="none"/>
                <w:u w:val="none"/>
                <w:lang w:val="en-US" w:eastAsia="zh-CN" w:bidi="ar-SA"/>
              </w:rPr>
              <w:t>项    目</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1"/>
                <w:szCs w:val="21"/>
                <w:highlight w:val="none"/>
                <w:u w:val="none"/>
                <w:lang w:val="en-US" w:eastAsia="zh-CN" w:bidi="ar-SA"/>
              </w:rPr>
              <w:t>行次</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1"/>
                <w:szCs w:val="21"/>
                <w:highlight w:val="none"/>
                <w:u w:val="none"/>
                <w:lang w:val="en-US" w:eastAsia="zh-CN" w:bidi="ar-SA"/>
              </w:rPr>
              <w:t>合计</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1"/>
                <w:szCs w:val="21"/>
                <w:highlight w:val="none"/>
                <w:u w:val="none"/>
                <w:lang w:val="en-US" w:eastAsia="zh-CN" w:bidi="ar-SA"/>
              </w:rPr>
              <w:t>一般公共预算财政拨款</w:t>
            </w:r>
          </w:p>
        </w:tc>
        <w:tc>
          <w:tcPr>
            <w:tcW w:w="131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1"/>
                <w:szCs w:val="21"/>
                <w:highlight w:val="none"/>
                <w:u w:val="none"/>
                <w:lang w:val="en-US" w:eastAsia="zh-CN" w:bidi="ar-SA"/>
              </w:rPr>
              <w:t>政府性基金预算财政拨款</w:t>
            </w:r>
          </w:p>
        </w:tc>
        <w:tc>
          <w:tcPr>
            <w:tcW w:w="96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SA"/>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1"/>
                <w:szCs w:val="21"/>
                <w:highlight w:val="none"/>
                <w:u w:val="none"/>
                <w:lang w:val="en-US" w:eastAsia="zh-CN" w:bidi="ar-SA"/>
              </w:rPr>
              <w:t>栏    次</w:t>
            </w:r>
          </w:p>
        </w:tc>
        <w:tc>
          <w:tcPr>
            <w:tcW w:w="1048" w:type="dxa"/>
            <w:tcBorders>
              <w:top w:val="single" w:color="000000" w:sz="4" w:space="0"/>
              <w:left w:val="nil"/>
              <w:bottom w:val="single" w:color="000000" w:sz="4" w:space="0"/>
              <w:right w:val="single" w:color="000000" w:sz="4" w:space="0"/>
            </w:tcBorders>
            <w:shd w:val="clear" w:color="auto" w:fill="FFFFFF"/>
            <w:vAlign w:val="center"/>
          </w:tcPr>
          <w:p>
            <w:pPr>
              <w:jc w:val="center"/>
              <w:rPr>
                <w:rFonts w:hint="default" w:ascii="宋体"/>
                <w:color w:val="000000"/>
                <w:kern w:val="0"/>
                <w:highlight w:val="none"/>
                <w:shd w:val="clear" w:color="auto" w:fill="FFFFFF"/>
              </w:rPr>
            </w:pPr>
          </w:p>
        </w:tc>
        <w:tc>
          <w:tcPr>
            <w:tcW w:w="2083" w:type="dxa"/>
            <w:gridSpan w:val="3"/>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1"/>
                <w:szCs w:val="21"/>
                <w:highlight w:val="none"/>
                <w:u w:val="none"/>
                <w:lang w:val="en-US" w:eastAsia="zh-CN" w:bidi="ar-SA"/>
              </w:rPr>
              <w:t>1</w:t>
            </w:r>
          </w:p>
        </w:tc>
        <w:tc>
          <w:tcPr>
            <w:tcW w:w="2549"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1"/>
                <w:szCs w:val="21"/>
                <w:highlight w:val="none"/>
                <w:u w:val="none"/>
                <w:lang w:val="en-US" w:eastAsia="zh-CN" w:bidi="ar-SA"/>
              </w:rPr>
              <w:t>栏    次</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jc w:val="center"/>
              <w:rPr>
                <w:rFonts w:hint="default" w:ascii="宋体"/>
                <w:color w:val="000000"/>
                <w:kern w:val="0"/>
                <w:highlight w:val="none"/>
                <w:shd w:val="clear" w:color="auto" w:fill="FFFFFF"/>
              </w:rPr>
            </w:pP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1"/>
                <w:szCs w:val="21"/>
                <w:highlight w:val="none"/>
                <w:u w:val="none"/>
                <w:lang w:val="en-US" w:eastAsia="zh-CN" w:bidi="ar-SA"/>
              </w:rPr>
              <w:t>2</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1"/>
                <w:szCs w:val="21"/>
                <w:highlight w:val="none"/>
                <w:u w:val="none"/>
                <w:lang w:val="en-US" w:eastAsia="zh-CN" w:bidi="ar-SA"/>
              </w:rPr>
              <w:t>3</w:t>
            </w:r>
          </w:p>
        </w:tc>
        <w:tc>
          <w:tcPr>
            <w:tcW w:w="131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1"/>
                <w:szCs w:val="21"/>
                <w:highlight w:val="none"/>
                <w:u w:val="none"/>
                <w:lang w:val="en-US" w:eastAsia="zh-CN" w:bidi="ar-SA"/>
              </w:rPr>
              <w:t>4</w:t>
            </w:r>
          </w:p>
        </w:tc>
        <w:tc>
          <w:tcPr>
            <w:tcW w:w="96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highlight w:val="none"/>
              </w:rPr>
            </w:pPr>
            <w:r>
              <w:rPr>
                <w:rFonts w:hint="eastAsia" w:ascii="宋体" w:hAnsi="宋体" w:cs="宋体"/>
                <w:i w:val="0"/>
                <w:color w:val="000000"/>
                <w:kern w:val="0"/>
                <w:sz w:val="21"/>
                <w:szCs w:val="21"/>
                <w:highlight w:val="none"/>
                <w:u w:val="none"/>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color w:val="000000"/>
                <w:kern w:val="0"/>
                <w:sz w:val="18"/>
                <w:szCs w:val="18"/>
                <w:highlight w:val="none"/>
                <w:shd w:val="clear" w:color="auto" w:fill="FFFFFF"/>
              </w:rPr>
            </w:pPr>
            <w:r>
              <w:rPr>
                <w:rFonts w:hint="eastAsia" w:ascii="宋体" w:hAnsi="宋体" w:eastAsia="宋体" w:cs="宋体"/>
                <w:i w:val="0"/>
                <w:color w:val="000000"/>
                <w:kern w:val="0"/>
                <w:sz w:val="18"/>
                <w:szCs w:val="18"/>
                <w:u w:val="none"/>
                <w:lang w:val="en-US" w:eastAsia="zh-CN" w:bidi="ar"/>
              </w:rPr>
              <w:t>1</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2,522.61</w:t>
            </w:r>
          </w:p>
        </w:tc>
        <w:tc>
          <w:tcPr>
            <w:tcW w:w="2549"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sz w:val="18"/>
                <w:szCs w:val="18"/>
                <w:highlight w:val="none"/>
                <w:shd w:val="clear" w:color="auto" w:fill="FFFFFF"/>
              </w:rPr>
            </w:pPr>
            <w:r>
              <w:rPr>
                <w:rFonts w:hint="eastAsia" w:ascii="宋体" w:hAnsi="宋体" w:eastAsia="宋体" w:cs="宋体"/>
                <w:i w:val="0"/>
                <w:color w:val="000000"/>
                <w:kern w:val="0"/>
                <w:sz w:val="18"/>
                <w:szCs w:val="18"/>
                <w:u w:val="none"/>
                <w:lang w:val="en-US" w:eastAsia="zh-CN" w:bidi="ar"/>
              </w:rPr>
              <w:t>一、一般公共服务支出</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33</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3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9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sz w:val="18"/>
                <w:szCs w:val="18"/>
                <w:highlight w:val="none"/>
                <w:shd w:val="clear" w:color="auto" w:fill="FFFFFF"/>
              </w:rPr>
            </w:pPr>
            <w:r>
              <w:rPr>
                <w:rFonts w:hint="eastAsia" w:ascii="宋体" w:hAnsi="宋体" w:eastAsia="宋体" w:cs="宋体"/>
                <w:i w:val="0"/>
                <w:color w:val="000000"/>
                <w:kern w:val="0"/>
                <w:sz w:val="18"/>
                <w:szCs w:val="18"/>
                <w:u w:val="none"/>
                <w:lang w:val="en-US" w:eastAsia="zh-CN" w:bidi="ar"/>
              </w:rPr>
              <w:t>二、政府性基金预算财政拨款</w:t>
            </w: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color w:val="000000"/>
                <w:kern w:val="0"/>
                <w:sz w:val="18"/>
                <w:szCs w:val="18"/>
                <w:highlight w:val="none"/>
                <w:shd w:val="clear" w:color="auto" w:fill="FFFFFF"/>
              </w:rPr>
            </w:pPr>
            <w:r>
              <w:rPr>
                <w:rFonts w:hint="eastAsia" w:ascii="宋体" w:hAnsi="宋体" w:eastAsia="宋体" w:cs="宋体"/>
                <w:i w:val="0"/>
                <w:color w:val="000000"/>
                <w:kern w:val="0"/>
                <w:sz w:val="18"/>
                <w:szCs w:val="18"/>
                <w:u w:val="none"/>
                <w:lang w:val="en-US" w:eastAsia="zh-CN" w:bidi="ar"/>
              </w:rPr>
              <w:t>2</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1,606.04</w:t>
            </w:r>
          </w:p>
        </w:tc>
        <w:tc>
          <w:tcPr>
            <w:tcW w:w="2549"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sz w:val="18"/>
                <w:szCs w:val="18"/>
                <w:highlight w:val="none"/>
                <w:shd w:val="clear" w:color="auto" w:fill="FFFFFF"/>
              </w:rPr>
            </w:pPr>
            <w:r>
              <w:rPr>
                <w:rFonts w:hint="eastAsia" w:ascii="宋体" w:hAnsi="宋体" w:eastAsia="宋体" w:cs="宋体"/>
                <w:i w:val="0"/>
                <w:color w:val="000000"/>
                <w:kern w:val="0"/>
                <w:sz w:val="18"/>
                <w:szCs w:val="18"/>
                <w:u w:val="none"/>
                <w:lang w:val="en-US" w:eastAsia="zh-CN" w:bidi="ar"/>
              </w:rPr>
              <w:t>二、外交支出</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34</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3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9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sz w:val="18"/>
                <w:szCs w:val="18"/>
                <w:highlight w:val="none"/>
                <w:shd w:val="clear" w:color="auto" w:fill="FFFFFF"/>
              </w:rPr>
            </w:pPr>
            <w:r>
              <w:rPr>
                <w:rFonts w:hint="eastAsia" w:ascii="宋体" w:hAnsi="宋体" w:eastAsia="宋体" w:cs="宋体"/>
                <w:i w:val="0"/>
                <w:color w:val="000000"/>
                <w:kern w:val="0"/>
                <w:sz w:val="18"/>
                <w:szCs w:val="18"/>
                <w:u w:val="none"/>
                <w:lang w:val="en-US" w:eastAsia="zh-CN" w:bidi="ar"/>
              </w:rPr>
              <w:t>三、国有资本经营预算财政拨款</w:t>
            </w: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color w:val="000000"/>
                <w:kern w:val="0"/>
                <w:sz w:val="18"/>
                <w:szCs w:val="18"/>
                <w:highlight w:val="none"/>
                <w:shd w:val="clear" w:color="auto" w:fill="FFFFFF"/>
              </w:rPr>
            </w:pPr>
            <w:r>
              <w:rPr>
                <w:rFonts w:hint="eastAsia" w:ascii="宋体" w:hAnsi="宋体" w:eastAsia="宋体" w:cs="宋体"/>
                <w:i w:val="0"/>
                <w:color w:val="000000"/>
                <w:kern w:val="0"/>
                <w:sz w:val="18"/>
                <w:szCs w:val="18"/>
                <w:u w:val="none"/>
                <w:lang w:val="en-US" w:eastAsia="zh-CN" w:bidi="ar"/>
              </w:rPr>
              <w:t>3</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c>
          <w:tcPr>
            <w:tcW w:w="2549"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color w:val="000000"/>
                <w:kern w:val="0"/>
                <w:sz w:val="18"/>
                <w:szCs w:val="18"/>
                <w:highlight w:val="none"/>
                <w:shd w:val="clear" w:color="auto" w:fill="FFFFFF"/>
              </w:rPr>
            </w:pPr>
            <w:r>
              <w:rPr>
                <w:rFonts w:hint="eastAsia" w:ascii="宋体" w:hAnsi="宋体" w:eastAsia="宋体" w:cs="宋体"/>
                <w:i w:val="0"/>
                <w:color w:val="000000"/>
                <w:kern w:val="0"/>
                <w:sz w:val="18"/>
                <w:szCs w:val="18"/>
                <w:u w:val="none"/>
                <w:lang w:val="en-US" w:eastAsia="zh-CN" w:bidi="ar"/>
              </w:rPr>
              <w:t>三、国防支出</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3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9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color w:val="000000"/>
                <w:kern w:val="0"/>
                <w:sz w:val="18"/>
                <w:szCs w:val="18"/>
                <w:highlight w:val="none"/>
                <w:shd w:val="clear" w:color="auto" w:fill="FFFFFF"/>
              </w:rPr>
            </w:pP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4</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jc w:val="right"/>
              <w:rPr>
                <w:rFonts w:hint="default" w:ascii="宋体"/>
                <w:color w:val="000000"/>
                <w:kern w:val="0"/>
                <w:sz w:val="18"/>
                <w:szCs w:val="18"/>
                <w:highlight w:val="none"/>
              </w:rPr>
            </w:pPr>
          </w:p>
        </w:tc>
        <w:tc>
          <w:tcPr>
            <w:tcW w:w="2549"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四、公共安全支出</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36</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3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9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color w:val="000000"/>
                <w:kern w:val="0"/>
                <w:sz w:val="18"/>
                <w:szCs w:val="18"/>
                <w:highlight w:val="none"/>
                <w:shd w:val="clear" w:color="auto" w:fill="FFFFFF"/>
              </w:rPr>
            </w:pP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5</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jc w:val="right"/>
              <w:rPr>
                <w:rFonts w:hint="default" w:ascii="宋体"/>
                <w:color w:val="000000"/>
                <w:kern w:val="0"/>
                <w:sz w:val="18"/>
                <w:szCs w:val="18"/>
                <w:highlight w:val="none"/>
              </w:rPr>
            </w:pPr>
          </w:p>
        </w:tc>
        <w:tc>
          <w:tcPr>
            <w:tcW w:w="2549"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五、教育支出</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37</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3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9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color w:val="000000"/>
                <w:kern w:val="0"/>
                <w:sz w:val="18"/>
                <w:szCs w:val="18"/>
                <w:highlight w:val="none"/>
                <w:shd w:val="clear" w:color="auto" w:fill="FFFFFF"/>
              </w:rPr>
            </w:pP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6</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jc w:val="right"/>
              <w:rPr>
                <w:rFonts w:hint="default" w:ascii="宋体"/>
                <w:color w:val="000000"/>
                <w:kern w:val="0"/>
                <w:sz w:val="18"/>
                <w:szCs w:val="18"/>
                <w:highlight w:val="none"/>
              </w:rPr>
            </w:pPr>
          </w:p>
        </w:tc>
        <w:tc>
          <w:tcPr>
            <w:tcW w:w="2549"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六、科学技术支出</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38</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3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9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color w:val="000000"/>
                <w:kern w:val="0"/>
                <w:sz w:val="18"/>
                <w:szCs w:val="18"/>
                <w:highlight w:val="none"/>
                <w:shd w:val="clear" w:color="auto" w:fill="FFFFFF"/>
              </w:rPr>
            </w:pP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7</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jc w:val="right"/>
              <w:rPr>
                <w:rFonts w:hint="default" w:ascii="宋体"/>
                <w:color w:val="000000"/>
                <w:kern w:val="0"/>
                <w:sz w:val="18"/>
                <w:szCs w:val="18"/>
                <w:highlight w:val="none"/>
              </w:rPr>
            </w:pPr>
          </w:p>
        </w:tc>
        <w:tc>
          <w:tcPr>
            <w:tcW w:w="2549"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七、文化旅游体育与传媒支出</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39</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2,260.75</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2,260.75</w:t>
            </w:r>
          </w:p>
        </w:tc>
        <w:tc>
          <w:tcPr>
            <w:tcW w:w="13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9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color w:val="000000"/>
                <w:kern w:val="0"/>
                <w:sz w:val="18"/>
                <w:szCs w:val="18"/>
                <w:highlight w:val="none"/>
                <w:shd w:val="clear" w:color="auto" w:fill="FFFFFF"/>
              </w:rPr>
            </w:pP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8</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jc w:val="right"/>
              <w:rPr>
                <w:rFonts w:hint="default" w:ascii="宋体"/>
                <w:color w:val="000000"/>
                <w:kern w:val="0"/>
                <w:sz w:val="18"/>
                <w:szCs w:val="18"/>
                <w:highlight w:val="none"/>
              </w:rPr>
            </w:pPr>
          </w:p>
        </w:tc>
        <w:tc>
          <w:tcPr>
            <w:tcW w:w="2549"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八、社会保障和就业支出</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115.82</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115.82</w:t>
            </w:r>
          </w:p>
        </w:tc>
        <w:tc>
          <w:tcPr>
            <w:tcW w:w="13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9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color w:val="000000"/>
                <w:kern w:val="0"/>
                <w:sz w:val="18"/>
                <w:szCs w:val="18"/>
                <w:highlight w:val="none"/>
                <w:shd w:val="clear" w:color="auto" w:fill="FFFFFF"/>
              </w:rPr>
            </w:pP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9</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jc w:val="right"/>
              <w:rPr>
                <w:rFonts w:hint="default" w:ascii="宋体"/>
                <w:color w:val="000000"/>
                <w:kern w:val="0"/>
                <w:sz w:val="18"/>
                <w:szCs w:val="18"/>
                <w:highlight w:val="none"/>
              </w:rPr>
            </w:pPr>
          </w:p>
        </w:tc>
        <w:tc>
          <w:tcPr>
            <w:tcW w:w="2549"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九、卫生健康支出</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41</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35.02</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35.02</w:t>
            </w:r>
          </w:p>
        </w:tc>
        <w:tc>
          <w:tcPr>
            <w:tcW w:w="13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9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color w:val="000000"/>
                <w:kern w:val="0"/>
                <w:sz w:val="18"/>
                <w:szCs w:val="18"/>
                <w:highlight w:val="none"/>
                <w:shd w:val="clear" w:color="auto" w:fill="FFFFFF"/>
              </w:rPr>
            </w:pP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10</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jc w:val="right"/>
              <w:rPr>
                <w:rFonts w:hint="default" w:ascii="宋体"/>
                <w:color w:val="000000"/>
                <w:kern w:val="0"/>
                <w:sz w:val="18"/>
                <w:szCs w:val="18"/>
                <w:highlight w:val="none"/>
              </w:rPr>
            </w:pPr>
          </w:p>
        </w:tc>
        <w:tc>
          <w:tcPr>
            <w:tcW w:w="2549"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十、节能环保支出</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42</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3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9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color w:val="000000"/>
                <w:kern w:val="0"/>
                <w:sz w:val="18"/>
                <w:szCs w:val="18"/>
                <w:highlight w:val="none"/>
                <w:shd w:val="clear" w:color="auto" w:fill="FFFFFF"/>
              </w:rPr>
            </w:pP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11</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jc w:val="right"/>
              <w:rPr>
                <w:rFonts w:hint="default" w:ascii="宋体"/>
                <w:color w:val="000000"/>
                <w:kern w:val="0"/>
                <w:sz w:val="18"/>
                <w:szCs w:val="18"/>
                <w:highlight w:val="none"/>
              </w:rPr>
            </w:pPr>
          </w:p>
        </w:tc>
        <w:tc>
          <w:tcPr>
            <w:tcW w:w="2549"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十一、城乡社区支出</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43</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3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9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color w:val="000000"/>
                <w:kern w:val="0"/>
                <w:sz w:val="18"/>
                <w:szCs w:val="18"/>
                <w:highlight w:val="none"/>
                <w:shd w:val="clear" w:color="auto" w:fill="FFFFFF"/>
              </w:rPr>
            </w:pP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12</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jc w:val="right"/>
              <w:rPr>
                <w:rFonts w:hint="default" w:ascii="宋体"/>
                <w:color w:val="000000"/>
                <w:kern w:val="0"/>
                <w:sz w:val="18"/>
                <w:szCs w:val="18"/>
                <w:highlight w:val="none"/>
              </w:rPr>
            </w:pPr>
          </w:p>
        </w:tc>
        <w:tc>
          <w:tcPr>
            <w:tcW w:w="2549"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十二、农林水支出</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44</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3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9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color w:val="000000"/>
                <w:kern w:val="0"/>
                <w:sz w:val="18"/>
                <w:szCs w:val="18"/>
                <w:highlight w:val="none"/>
                <w:shd w:val="clear" w:color="auto" w:fill="FFFFFF"/>
              </w:rPr>
            </w:pP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13</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jc w:val="right"/>
              <w:rPr>
                <w:rFonts w:hint="default" w:ascii="宋体"/>
                <w:color w:val="000000"/>
                <w:kern w:val="0"/>
                <w:sz w:val="18"/>
                <w:szCs w:val="18"/>
                <w:highlight w:val="none"/>
              </w:rPr>
            </w:pPr>
          </w:p>
        </w:tc>
        <w:tc>
          <w:tcPr>
            <w:tcW w:w="2549"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十三、交通运输支出</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3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9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color w:val="000000"/>
                <w:kern w:val="0"/>
                <w:sz w:val="18"/>
                <w:szCs w:val="18"/>
                <w:highlight w:val="none"/>
                <w:shd w:val="clear" w:color="auto" w:fill="FFFFFF"/>
              </w:rPr>
            </w:pP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14</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jc w:val="right"/>
              <w:rPr>
                <w:rFonts w:hint="default" w:ascii="宋体"/>
                <w:color w:val="000000"/>
                <w:kern w:val="0"/>
                <w:sz w:val="18"/>
                <w:szCs w:val="18"/>
                <w:highlight w:val="none"/>
              </w:rPr>
            </w:pPr>
          </w:p>
        </w:tc>
        <w:tc>
          <w:tcPr>
            <w:tcW w:w="2549"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十四、资源勘探工业信息等支出</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46</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3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9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color w:val="000000"/>
                <w:kern w:val="0"/>
                <w:sz w:val="18"/>
                <w:szCs w:val="18"/>
                <w:highlight w:val="none"/>
                <w:shd w:val="clear" w:color="auto" w:fill="FFFFFF"/>
              </w:rPr>
            </w:pP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15</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jc w:val="right"/>
              <w:rPr>
                <w:rFonts w:hint="default" w:ascii="宋体"/>
                <w:color w:val="000000"/>
                <w:kern w:val="0"/>
                <w:sz w:val="18"/>
                <w:szCs w:val="18"/>
                <w:highlight w:val="none"/>
              </w:rPr>
            </w:pPr>
          </w:p>
        </w:tc>
        <w:tc>
          <w:tcPr>
            <w:tcW w:w="2549"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十五、商业服务业等支出</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47</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3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9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color w:val="000000"/>
                <w:kern w:val="0"/>
                <w:sz w:val="18"/>
                <w:szCs w:val="18"/>
                <w:highlight w:val="none"/>
                <w:shd w:val="clear" w:color="auto" w:fill="FFFFFF"/>
              </w:rPr>
            </w:pP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16</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jc w:val="right"/>
              <w:rPr>
                <w:rFonts w:hint="default" w:ascii="宋体"/>
                <w:color w:val="000000"/>
                <w:kern w:val="0"/>
                <w:sz w:val="18"/>
                <w:szCs w:val="18"/>
                <w:highlight w:val="none"/>
              </w:rPr>
            </w:pPr>
          </w:p>
        </w:tc>
        <w:tc>
          <w:tcPr>
            <w:tcW w:w="2549"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十六、金融支出</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48</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3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9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color w:val="000000"/>
                <w:kern w:val="0"/>
                <w:sz w:val="18"/>
                <w:szCs w:val="18"/>
                <w:highlight w:val="none"/>
                <w:shd w:val="clear" w:color="auto" w:fill="FFFFFF"/>
              </w:rPr>
            </w:pP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17</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jc w:val="right"/>
              <w:rPr>
                <w:rFonts w:hint="default" w:ascii="宋体"/>
                <w:color w:val="000000"/>
                <w:kern w:val="0"/>
                <w:sz w:val="18"/>
                <w:szCs w:val="18"/>
                <w:highlight w:val="none"/>
              </w:rPr>
            </w:pPr>
          </w:p>
        </w:tc>
        <w:tc>
          <w:tcPr>
            <w:tcW w:w="2549"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十七、援助其他地区支出</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49</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3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9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color w:val="000000"/>
                <w:kern w:val="0"/>
                <w:sz w:val="18"/>
                <w:szCs w:val="18"/>
                <w:highlight w:val="none"/>
                <w:shd w:val="clear" w:color="auto" w:fill="FFFFFF"/>
              </w:rPr>
            </w:pP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18</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jc w:val="right"/>
              <w:rPr>
                <w:rFonts w:hint="default" w:ascii="宋体"/>
                <w:color w:val="000000"/>
                <w:kern w:val="0"/>
                <w:sz w:val="18"/>
                <w:szCs w:val="18"/>
                <w:highlight w:val="none"/>
              </w:rPr>
            </w:pPr>
          </w:p>
        </w:tc>
        <w:tc>
          <w:tcPr>
            <w:tcW w:w="2549"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十八、自然资源海洋气象等支出</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3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9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color w:val="000000"/>
                <w:kern w:val="0"/>
                <w:sz w:val="18"/>
                <w:szCs w:val="18"/>
                <w:highlight w:val="none"/>
                <w:shd w:val="clear" w:color="auto" w:fill="FFFFFF"/>
              </w:rPr>
            </w:pP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19</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jc w:val="right"/>
              <w:rPr>
                <w:rFonts w:hint="default" w:ascii="宋体"/>
                <w:color w:val="000000"/>
                <w:kern w:val="0"/>
                <w:sz w:val="18"/>
                <w:szCs w:val="18"/>
                <w:highlight w:val="none"/>
              </w:rPr>
            </w:pPr>
          </w:p>
        </w:tc>
        <w:tc>
          <w:tcPr>
            <w:tcW w:w="2549"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十九、住房保障支出</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51</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119.70</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119.70</w:t>
            </w:r>
          </w:p>
        </w:tc>
        <w:tc>
          <w:tcPr>
            <w:tcW w:w="13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9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color w:val="000000"/>
                <w:kern w:val="0"/>
                <w:sz w:val="18"/>
                <w:szCs w:val="18"/>
                <w:highlight w:val="none"/>
                <w:shd w:val="clear" w:color="auto" w:fill="FFFFFF"/>
              </w:rPr>
            </w:pP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20</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jc w:val="right"/>
              <w:rPr>
                <w:rFonts w:hint="default" w:ascii="宋体"/>
                <w:color w:val="000000"/>
                <w:kern w:val="0"/>
                <w:sz w:val="18"/>
                <w:szCs w:val="18"/>
                <w:highlight w:val="none"/>
              </w:rPr>
            </w:pPr>
          </w:p>
        </w:tc>
        <w:tc>
          <w:tcPr>
            <w:tcW w:w="2549"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二十、粮油物资储备支出</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52</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3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9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color w:val="000000"/>
                <w:kern w:val="0"/>
                <w:sz w:val="18"/>
                <w:szCs w:val="18"/>
                <w:highlight w:val="none"/>
                <w:shd w:val="clear" w:color="auto" w:fill="FFFFFF"/>
              </w:rPr>
            </w:pP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21</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jc w:val="right"/>
              <w:rPr>
                <w:rFonts w:hint="default" w:ascii="宋体"/>
                <w:color w:val="000000"/>
                <w:kern w:val="0"/>
                <w:sz w:val="18"/>
                <w:szCs w:val="18"/>
                <w:highlight w:val="none"/>
              </w:rPr>
            </w:pPr>
          </w:p>
        </w:tc>
        <w:tc>
          <w:tcPr>
            <w:tcW w:w="2549"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二十一、国有资本经营预算支出</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53</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3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9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color w:val="000000"/>
                <w:kern w:val="0"/>
                <w:sz w:val="18"/>
                <w:szCs w:val="18"/>
                <w:highlight w:val="none"/>
                <w:shd w:val="clear" w:color="auto" w:fill="FFFFFF"/>
              </w:rPr>
            </w:pP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22</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jc w:val="right"/>
              <w:rPr>
                <w:rFonts w:hint="default" w:ascii="宋体"/>
                <w:color w:val="000000"/>
                <w:kern w:val="0"/>
                <w:sz w:val="18"/>
                <w:szCs w:val="18"/>
                <w:highlight w:val="none"/>
              </w:rPr>
            </w:pPr>
          </w:p>
        </w:tc>
        <w:tc>
          <w:tcPr>
            <w:tcW w:w="2549"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二十二、灾害防治及应急管理支出</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54</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3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9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color w:val="000000"/>
                <w:kern w:val="0"/>
                <w:sz w:val="18"/>
                <w:szCs w:val="18"/>
                <w:highlight w:val="none"/>
                <w:shd w:val="clear" w:color="auto" w:fill="FFFFFF"/>
              </w:rPr>
            </w:pP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23</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jc w:val="right"/>
              <w:rPr>
                <w:rFonts w:hint="default" w:ascii="宋体"/>
                <w:color w:val="000000"/>
                <w:kern w:val="0"/>
                <w:sz w:val="18"/>
                <w:szCs w:val="18"/>
                <w:highlight w:val="none"/>
              </w:rPr>
            </w:pPr>
          </w:p>
        </w:tc>
        <w:tc>
          <w:tcPr>
            <w:tcW w:w="2549"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二十三、其他支出</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3,185.14</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3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3,185.14</w:t>
            </w:r>
          </w:p>
        </w:tc>
        <w:tc>
          <w:tcPr>
            <w:tcW w:w="9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color w:val="000000"/>
                <w:kern w:val="0"/>
                <w:sz w:val="18"/>
                <w:szCs w:val="18"/>
                <w:highlight w:val="none"/>
                <w:shd w:val="clear" w:color="auto" w:fill="FFFFFF"/>
              </w:rPr>
            </w:pP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24</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jc w:val="right"/>
              <w:rPr>
                <w:rFonts w:hint="default" w:ascii="宋体"/>
                <w:color w:val="000000"/>
                <w:kern w:val="0"/>
                <w:sz w:val="18"/>
                <w:szCs w:val="18"/>
                <w:highlight w:val="none"/>
              </w:rPr>
            </w:pPr>
          </w:p>
        </w:tc>
        <w:tc>
          <w:tcPr>
            <w:tcW w:w="2549"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二十四、债务还本支出</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56</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3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9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color w:val="000000"/>
                <w:kern w:val="0"/>
                <w:sz w:val="18"/>
                <w:szCs w:val="18"/>
                <w:highlight w:val="none"/>
                <w:shd w:val="clear" w:color="auto" w:fill="FFFFFF"/>
              </w:rPr>
            </w:pP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25</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jc w:val="right"/>
              <w:rPr>
                <w:rFonts w:hint="default" w:ascii="宋体"/>
                <w:color w:val="000000"/>
                <w:kern w:val="0"/>
                <w:sz w:val="18"/>
                <w:szCs w:val="18"/>
                <w:highlight w:val="none"/>
              </w:rPr>
            </w:pPr>
          </w:p>
        </w:tc>
        <w:tc>
          <w:tcPr>
            <w:tcW w:w="2549"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二十五、债务付息支出</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57</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3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9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color w:val="000000"/>
                <w:kern w:val="0"/>
                <w:sz w:val="18"/>
                <w:szCs w:val="18"/>
                <w:highlight w:val="none"/>
                <w:shd w:val="clear" w:color="auto" w:fill="FFFFFF"/>
              </w:rPr>
            </w:pP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26</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jc w:val="right"/>
              <w:rPr>
                <w:rFonts w:hint="default" w:ascii="宋体"/>
                <w:color w:val="000000"/>
                <w:kern w:val="0"/>
                <w:sz w:val="18"/>
                <w:szCs w:val="18"/>
                <w:highlight w:val="none"/>
              </w:rPr>
            </w:pPr>
          </w:p>
        </w:tc>
        <w:tc>
          <w:tcPr>
            <w:tcW w:w="2549"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SA"/>
              </w:rPr>
            </w:pPr>
            <w:r>
              <w:rPr>
                <w:rFonts w:hint="eastAsia" w:ascii="宋体" w:hAnsi="宋体" w:eastAsia="宋体" w:cs="宋体"/>
                <w:i w:val="0"/>
                <w:color w:val="000000"/>
                <w:kern w:val="0"/>
                <w:sz w:val="18"/>
                <w:szCs w:val="18"/>
                <w:u w:val="none"/>
                <w:lang w:val="en-US" w:eastAsia="zh-CN" w:bidi="ar"/>
              </w:rPr>
              <w:t>二十六、抗疫特别国债安排的支出</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58</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3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9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b/>
                <w:color w:val="000000"/>
                <w:kern w:val="0"/>
                <w:sz w:val="18"/>
                <w:szCs w:val="18"/>
                <w:highlight w:val="none"/>
              </w:rPr>
            </w:pPr>
            <w:r>
              <w:rPr>
                <w:rFonts w:hint="eastAsia" w:ascii="宋体" w:hAnsi="宋体" w:eastAsia="宋体" w:cs="宋体"/>
                <w:b/>
                <w:i w:val="0"/>
                <w:color w:val="000000"/>
                <w:kern w:val="0"/>
                <w:sz w:val="18"/>
                <w:szCs w:val="18"/>
                <w:u w:val="none"/>
                <w:lang w:val="en-US" w:eastAsia="zh-CN" w:bidi="ar"/>
              </w:rPr>
              <w:t>本年收入合计</w:t>
            </w: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color w:val="000000"/>
                <w:kern w:val="0"/>
                <w:sz w:val="18"/>
                <w:szCs w:val="18"/>
                <w:highlight w:val="none"/>
                <w:shd w:val="clear" w:color="auto" w:fill="FFFFFF"/>
              </w:rPr>
            </w:pPr>
            <w:r>
              <w:rPr>
                <w:rFonts w:hint="eastAsia" w:ascii="宋体" w:hAnsi="宋体" w:eastAsia="宋体" w:cs="宋体"/>
                <w:i w:val="0"/>
                <w:color w:val="000000"/>
                <w:kern w:val="0"/>
                <w:sz w:val="18"/>
                <w:szCs w:val="18"/>
                <w:u w:val="none"/>
                <w:lang w:val="en-US" w:eastAsia="zh-CN" w:bidi="ar"/>
              </w:rPr>
              <w:t>27</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4,128.65</w:t>
            </w:r>
          </w:p>
        </w:tc>
        <w:tc>
          <w:tcPr>
            <w:tcW w:w="254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b/>
                <w:color w:val="000000"/>
                <w:kern w:val="0"/>
                <w:highlight w:val="none"/>
              </w:rPr>
            </w:pPr>
            <w:r>
              <w:rPr>
                <w:rFonts w:hint="eastAsia" w:ascii="宋体" w:hAnsi="宋体" w:eastAsia="宋体" w:cs="宋体"/>
                <w:b/>
                <w:i w:val="0"/>
                <w:color w:val="000000"/>
                <w:kern w:val="0"/>
                <w:sz w:val="21"/>
                <w:szCs w:val="21"/>
                <w:highlight w:val="none"/>
                <w:u w:val="none"/>
                <w:lang w:val="en-US" w:eastAsia="zh-CN" w:bidi="ar-SA"/>
              </w:rPr>
              <w:t>本年支出合计</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5,716.43</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2,531.29</w:t>
            </w:r>
          </w:p>
        </w:tc>
        <w:tc>
          <w:tcPr>
            <w:tcW w:w="13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b/>
                <w:color w:val="000000"/>
                <w:kern w:val="0"/>
                <w:highlight w:val="none"/>
              </w:rPr>
            </w:pPr>
            <w:r>
              <w:rPr>
                <w:rFonts w:hint="eastAsia" w:ascii="宋体" w:hAnsi="宋体" w:eastAsia="宋体" w:cs="宋体"/>
                <w:i w:val="0"/>
                <w:color w:val="000000"/>
                <w:kern w:val="0"/>
                <w:sz w:val="22"/>
                <w:szCs w:val="22"/>
                <w:u w:val="none"/>
                <w:lang w:val="en-US" w:eastAsia="zh-CN" w:bidi="ar"/>
              </w:rPr>
              <w:t>3,185.14</w:t>
            </w:r>
          </w:p>
        </w:tc>
        <w:tc>
          <w:tcPr>
            <w:tcW w:w="9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年初财政拨款结转和结余</w:t>
            </w: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color w:val="000000"/>
                <w:kern w:val="0"/>
                <w:sz w:val="18"/>
                <w:szCs w:val="18"/>
                <w:highlight w:val="none"/>
                <w:shd w:val="clear" w:color="auto" w:fill="FFFFFF"/>
              </w:rPr>
            </w:pPr>
            <w:r>
              <w:rPr>
                <w:rFonts w:hint="eastAsia" w:ascii="宋体" w:hAnsi="宋体" w:eastAsia="宋体" w:cs="宋体"/>
                <w:i w:val="0"/>
                <w:color w:val="000000"/>
                <w:kern w:val="0"/>
                <w:sz w:val="18"/>
                <w:szCs w:val="18"/>
                <w:u w:val="none"/>
                <w:lang w:val="en-US" w:eastAsia="zh-CN" w:bidi="ar"/>
              </w:rPr>
              <w:t>28</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1,587.78</w:t>
            </w:r>
          </w:p>
        </w:tc>
        <w:tc>
          <w:tcPr>
            <w:tcW w:w="254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1"/>
                <w:szCs w:val="21"/>
                <w:highlight w:val="none"/>
                <w:u w:val="none"/>
                <w:lang w:val="en-US" w:eastAsia="zh-CN" w:bidi="ar-SA"/>
              </w:rPr>
              <w:t>年末</w:t>
            </w:r>
            <w:r>
              <w:rPr>
                <w:rFonts w:hint="eastAsia" w:ascii="宋体" w:hAnsi="宋体" w:cs="宋体"/>
                <w:i w:val="0"/>
                <w:color w:val="000000"/>
                <w:kern w:val="0"/>
                <w:sz w:val="21"/>
                <w:szCs w:val="21"/>
                <w:highlight w:val="none"/>
                <w:u w:val="none"/>
                <w:lang w:val="en-US" w:eastAsia="zh-CN" w:bidi="ar-SA"/>
              </w:rPr>
              <w:t>财政拨款</w:t>
            </w:r>
            <w:r>
              <w:rPr>
                <w:rFonts w:hint="eastAsia" w:ascii="宋体" w:hAnsi="宋体" w:eastAsia="宋体" w:cs="宋体"/>
                <w:i w:val="0"/>
                <w:color w:val="000000"/>
                <w:kern w:val="0"/>
                <w:sz w:val="21"/>
                <w:szCs w:val="21"/>
                <w:highlight w:val="none"/>
                <w:u w:val="none"/>
                <w:lang w:val="en-US" w:eastAsia="zh-CN" w:bidi="ar-SA"/>
              </w:rPr>
              <w:t>结转和结余</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86</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0.00</w:t>
            </w:r>
          </w:p>
        </w:tc>
        <w:tc>
          <w:tcPr>
            <w:tcW w:w="13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9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color w:val="000000"/>
                <w:kern w:val="0"/>
                <w:sz w:val="18"/>
                <w:szCs w:val="18"/>
                <w:highlight w:val="none"/>
                <w:shd w:val="clear" w:color="auto" w:fill="FFFFFF"/>
              </w:rPr>
            </w:pPr>
            <w:r>
              <w:rPr>
                <w:rFonts w:hint="eastAsia" w:ascii="宋体" w:hAnsi="宋体" w:eastAsia="宋体" w:cs="宋体"/>
                <w:i w:val="0"/>
                <w:color w:val="000000"/>
                <w:kern w:val="0"/>
                <w:sz w:val="18"/>
                <w:szCs w:val="18"/>
                <w:u w:val="none"/>
                <w:lang w:val="en-US" w:eastAsia="zh-CN" w:bidi="ar"/>
              </w:rPr>
              <w:t>29</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8.68</w:t>
            </w:r>
          </w:p>
        </w:tc>
        <w:tc>
          <w:tcPr>
            <w:tcW w:w="2549" w:type="dxa"/>
            <w:gridSpan w:val="2"/>
            <w:tcBorders>
              <w:top w:val="single" w:color="000000" w:sz="4" w:space="0"/>
              <w:left w:val="nil"/>
              <w:bottom w:val="single" w:color="000000" w:sz="4" w:space="0"/>
              <w:right w:val="single" w:color="000000" w:sz="4" w:space="0"/>
            </w:tcBorders>
            <w:shd w:val="clear" w:color="auto" w:fill="auto"/>
            <w:vAlign w:val="center"/>
          </w:tcPr>
          <w:p>
            <w:pPr>
              <w:jc w:val="left"/>
              <w:rPr>
                <w:rFonts w:hint="default" w:ascii="宋体"/>
                <w:color w:val="000000"/>
                <w:kern w:val="0"/>
                <w:highlight w:val="none"/>
              </w:rPr>
            </w:pP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87</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jc w:val="right"/>
              <w:rPr>
                <w:rFonts w:hint="default" w:ascii="宋体"/>
                <w:color w:val="000000"/>
                <w:kern w:val="0"/>
                <w:highlight w:val="none"/>
                <w:shd w:val="clear" w:color="auto" w:fill="FFFFFF"/>
              </w:rPr>
            </w:pPr>
          </w:p>
        </w:tc>
        <w:tc>
          <w:tcPr>
            <w:tcW w:w="1134" w:type="dxa"/>
            <w:tcBorders>
              <w:top w:val="single" w:color="000000" w:sz="4" w:space="0"/>
              <w:left w:val="nil"/>
              <w:bottom w:val="single" w:color="000000" w:sz="4" w:space="0"/>
              <w:right w:val="single" w:color="000000" w:sz="4" w:space="0"/>
            </w:tcBorders>
            <w:shd w:val="clear" w:color="auto" w:fill="FFFFFF"/>
            <w:vAlign w:val="center"/>
          </w:tcPr>
          <w:p>
            <w:pPr>
              <w:jc w:val="right"/>
              <w:rPr>
                <w:rFonts w:hint="default" w:ascii="宋体"/>
                <w:color w:val="000000"/>
                <w:kern w:val="0"/>
                <w:highlight w:val="none"/>
                <w:shd w:val="clear" w:color="auto" w:fill="FFFFFF"/>
              </w:rPr>
            </w:pPr>
          </w:p>
        </w:tc>
        <w:tc>
          <w:tcPr>
            <w:tcW w:w="1316" w:type="dxa"/>
            <w:tcBorders>
              <w:top w:val="single" w:color="000000" w:sz="4" w:space="0"/>
              <w:left w:val="nil"/>
              <w:bottom w:val="single" w:color="000000" w:sz="4" w:space="0"/>
              <w:right w:val="single" w:color="000000" w:sz="4" w:space="0"/>
            </w:tcBorders>
            <w:vAlign w:val="center"/>
          </w:tcPr>
          <w:p>
            <w:pPr>
              <w:jc w:val="right"/>
              <w:rPr>
                <w:rFonts w:hint="default" w:ascii="宋体"/>
                <w:color w:val="000000"/>
                <w:kern w:val="0"/>
                <w:highlight w:val="none"/>
              </w:rPr>
            </w:pPr>
          </w:p>
        </w:tc>
        <w:tc>
          <w:tcPr>
            <w:tcW w:w="968" w:type="dxa"/>
            <w:tcBorders>
              <w:top w:val="single" w:color="000000" w:sz="4" w:space="0"/>
              <w:left w:val="nil"/>
              <w:bottom w:val="single" w:color="000000" w:sz="4" w:space="0"/>
              <w:right w:val="single" w:color="000000" w:sz="4" w:space="0"/>
            </w:tcBorders>
            <w:vAlign w:val="center"/>
          </w:tcPr>
          <w:p>
            <w:pPr>
              <w:jc w:val="left"/>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color w:val="000000"/>
                <w:kern w:val="0"/>
                <w:sz w:val="18"/>
                <w:szCs w:val="18"/>
                <w:highlight w:val="none"/>
                <w:shd w:val="clear" w:color="auto" w:fill="FFFFFF"/>
              </w:rPr>
            </w:pPr>
            <w:r>
              <w:rPr>
                <w:rFonts w:hint="eastAsia" w:ascii="宋体" w:hAnsi="宋体" w:eastAsia="宋体" w:cs="宋体"/>
                <w:i w:val="0"/>
                <w:color w:val="000000"/>
                <w:kern w:val="0"/>
                <w:sz w:val="18"/>
                <w:szCs w:val="18"/>
                <w:u w:val="none"/>
                <w:lang w:val="en-US" w:eastAsia="zh-CN" w:bidi="ar"/>
              </w:rPr>
              <w:t>30</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1,579.10</w:t>
            </w:r>
          </w:p>
        </w:tc>
        <w:tc>
          <w:tcPr>
            <w:tcW w:w="2549" w:type="dxa"/>
            <w:gridSpan w:val="2"/>
            <w:tcBorders>
              <w:top w:val="single" w:color="000000" w:sz="4" w:space="0"/>
              <w:left w:val="nil"/>
              <w:bottom w:val="single" w:color="000000" w:sz="4" w:space="0"/>
              <w:right w:val="single" w:color="000000" w:sz="4" w:space="0"/>
            </w:tcBorders>
            <w:shd w:val="clear" w:color="auto" w:fill="auto"/>
            <w:vAlign w:val="center"/>
          </w:tcPr>
          <w:p>
            <w:pPr>
              <w:jc w:val="left"/>
              <w:rPr>
                <w:rFonts w:hint="default" w:ascii="宋体"/>
                <w:color w:val="000000"/>
                <w:kern w:val="0"/>
                <w:highlight w:val="none"/>
              </w:rPr>
            </w:pP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88</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jc w:val="right"/>
              <w:rPr>
                <w:rFonts w:hint="default" w:ascii="宋体"/>
                <w:color w:val="000000"/>
                <w:kern w:val="0"/>
                <w:highlight w:val="none"/>
                <w:shd w:val="clear" w:color="auto" w:fill="FFFFFF"/>
              </w:rPr>
            </w:pPr>
          </w:p>
        </w:tc>
        <w:tc>
          <w:tcPr>
            <w:tcW w:w="1134" w:type="dxa"/>
            <w:tcBorders>
              <w:top w:val="single" w:color="000000" w:sz="4" w:space="0"/>
              <w:left w:val="nil"/>
              <w:bottom w:val="single" w:color="000000" w:sz="4" w:space="0"/>
              <w:right w:val="single" w:color="000000" w:sz="4" w:space="0"/>
            </w:tcBorders>
            <w:shd w:val="clear" w:color="auto" w:fill="FFFFFF"/>
            <w:vAlign w:val="center"/>
          </w:tcPr>
          <w:p>
            <w:pPr>
              <w:jc w:val="right"/>
              <w:rPr>
                <w:rFonts w:hint="default" w:ascii="宋体"/>
                <w:color w:val="000000"/>
                <w:kern w:val="0"/>
                <w:highlight w:val="none"/>
                <w:shd w:val="clear" w:color="auto" w:fill="FFFFFF"/>
              </w:rPr>
            </w:pPr>
          </w:p>
        </w:tc>
        <w:tc>
          <w:tcPr>
            <w:tcW w:w="1316" w:type="dxa"/>
            <w:tcBorders>
              <w:top w:val="single" w:color="000000" w:sz="4" w:space="0"/>
              <w:left w:val="nil"/>
              <w:bottom w:val="single" w:color="000000" w:sz="4" w:space="0"/>
              <w:right w:val="single" w:color="000000" w:sz="4" w:space="0"/>
            </w:tcBorders>
            <w:vAlign w:val="center"/>
          </w:tcPr>
          <w:p>
            <w:pPr>
              <w:jc w:val="right"/>
              <w:rPr>
                <w:rFonts w:hint="default" w:ascii="宋体"/>
                <w:color w:val="000000"/>
                <w:kern w:val="0"/>
                <w:highlight w:val="none"/>
              </w:rPr>
            </w:pPr>
          </w:p>
        </w:tc>
        <w:tc>
          <w:tcPr>
            <w:tcW w:w="968" w:type="dxa"/>
            <w:tcBorders>
              <w:top w:val="single" w:color="000000" w:sz="4" w:space="0"/>
              <w:left w:val="nil"/>
              <w:bottom w:val="single" w:color="000000" w:sz="4" w:space="0"/>
              <w:right w:val="single" w:color="000000" w:sz="4" w:space="0"/>
            </w:tcBorders>
            <w:vAlign w:val="center"/>
          </w:tcPr>
          <w:p>
            <w:pPr>
              <w:jc w:val="left"/>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18"/>
                <w:szCs w:val="18"/>
                <w:u w:val="none"/>
                <w:lang w:val="en-US" w:eastAsia="zh-CN" w:bidi="ar"/>
              </w:rPr>
              <w:t>三、国有资本经营预算财政拨款</w:t>
            </w: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color w:val="000000"/>
                <w:kern w:val="0"/>
                <w:sz w:val="18"/>
                <w:szCs w:val="18"/>
                <w:highlight w:val="none"/>
                <w:shd w:val="clear" w:color="auto" w:fill="FFFFFF"/>
              </w:rPr>
            </w:pPr>
            <w:r>
              <w:rPr>
                <w:rFonts w:hint="eastAsia" w:ascii="宋体" w:hAnsi="宋体" w:eastAsia="宋体" w:cs="宋体"/>
                <w:i w:val="0"/>
                <w:color w:val="000000"/>
                <w:kern w:val="0"/>
                <w:sz w:val="18"/>
                <w:szCs w:val="18"/>
                <w:u w:val="none"/>
                <w:lang w:val="en-US" w:eastAsia="zh-CN" w:bidi="ar"/>
              </w:rPr>
              <w:t>31</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0.00</w:t>
            </w:r>
          </w:p>
        </w:tc>
        <w:tc>
          <w:tcPr>
            <w:tcW w:w="2549" w:type="dxa"/>
            <w:gridSpan w:val="2"/>
            <w:tcBorders>
              <w:top w:val="single" w:color="000000" w:sz="4" w:space="0"/>
              <w:left w:val="nil"/>
              <w:bottom w:val="single" w:color="000000" w:sz="4" w:space="0"/>
              <w:right w:val="single" w:color="000000" w:sz="4" w:space="0"/>
            </w:tcBorders>
            <w:shd w:val="clear" w:color="auto" w:fill="auto"/>
            <w:vAlign w:val="center"/>
          </w:tcPr>
          <w:p>
            <w:pPr>
              <w:jc w:val="left"/>
              <w:rPr>
                <w:rFonts w:hint="default" w:ascii="宋体"/>
                <w:color w:val="000000"/>
                <w:kern w:val="0"/>
                <w:highlight w:val="none"/>
              </w:rPr>
            </w:pP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89</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jc w:val="right"/>
              <w:rPr>
                <w:rFonts w:hint="default" w:ascii="宋体"/>
                <w:color w:val="000000"/>
                <w:kern w:val="0"/>
                <w:highlight w:val="none"/>
                <w:shd w:val="clear" w:color="auto" w:fill="FFFFFF"/>
              </w:rPr>
            </w:pPr>
          </w:p>
        </w:tc>
        <w:tc>
          <w:tcPr>
            <w:tcW w:w="1134" w:type="dxa"/>
            <w:tcBorders>
              <w:top w:val="single" w:color="000000" w:sz="4" w:space="0"/>
              <w:left w:val="nil"/>
              <w:bottom w:val="single" w:color="000000" w:sz="4" w:space="0"/>
              <w:right w:val="single" w:color="000000" w:sz="4" w:space="0"/>
            </w:tcBorders>
            <w:shd w:val="clear" w:color="auto" w:fill="FFFFFF"/>
            <w:vAlign w:val="center"/>
          </w:tcPr>
          <w:p>
            <w:pPr>
              <w:jc w:val="right"/>
              <w:rPr>
                <w:rFonts w:hint="default" w:ascii="宋体"/>
                <w:color w:val="000000"/>
                <w:kern w:val="0"/>
                <w:highlight w:val="none"/>
                <w:shd w:val="clear" w:color="auto" w:fill="FFFFFF"/>
              </w:rPr>
            </w:pPr>
          </w:p>
        </w:tc>
        <w:tc>
          <w:tcPr>
            <w:tcW w:w="1316" w:type="dxa"/>
            <w:tcBorders>
              <w:top w:val="single" w:color="000000" w:sz="4" w:space="0"/>
              <w:left w:val="nil"/>
              <w:bottom w:val="single" w:color="000000" w:sz="4" w:space="0"/>
              <w:right w:val="single" w:color="000000" w:sz="4" w:space="0"/>
            </w:tcBorders>
            <w:vAlign w:val="center"/>
          </w:tcPr>
          <w:p>
            <w:pPr>
              <w:jc w:val="right"/>
              <w:rPr>
                <w:rFonts w:hint="default" w:ascii="宋体"/>
                <w:color w:val="000000"/>
                <w:kern w:val="0"/>
                <w:highlight w:val="none"/>
              </w:rPr>
            </w:pPr>
          </w:p>
        </w:tc>
        <w:tc>
          <w:tcPr>
            <w:tcW w:w="968" w:type="dxa"/>
            <w:tcBorders>
              <w:top w:val="single" w:color="000000" w:sz="4" w:space="0"/>
              <w:left w:val="nil"/>
              <w:bottom w:val="single" w:color="000000" w:sz="4" w:space="0"/>
              <w:right w:val="single" w:color="000000" w:sz="4" w:space="0"/>
            </w:tcBorders>
            <w:vAlign w:val="center"/>
          </w:tcPr>
          <w:p>
            <w:pPr>
              <w:jc w:val="left"/>
              <w:rPr>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b/>
                <w:color w:val="000000"/>
                <w:kern w:val="0"/>
                <w:sz w:val="18"/>
                <w:szCs w:val="18"/>
                <w:highlight w:val="none"/>
                <w:shd w:val="clear" w:color="auto" w:fill="FFFFFF"/>
              </w:rPr>
            </w:pPr>
            <w:r>
              <w:rPr>
                <w:rFonts w:hint="eastAsia" w:ascii="宋体" w:hAnsi="宋体" w:eastAsia="宋体" w:cs="宋体"/>
                <w:b/>
                <w:i w:val="0"/>
                <w:color w:val="000000"/>
                <w:kern w:val="0"/>
                <w:sz w:val="18"/>
                <w:szCs w:val="18"/>
                <w:u w:val="none"/>
                <w:lang w:val="en-US" w:eastAsia="zh-CN" w:bidi="ar"/>
              </w:rPr>
              <w:t>总计</w:t>
            </w:r>
          </w:p>
        </w:tc>
        <w:tc>
          <w:tcPr>
            <w:tcW w:w="104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color w:val="000000"/>
                <w:kern w:val="0"/>
                <w:sz w:val="18"/>
                <w:szCs w:val="18"/>
                <w:highlight w:val="none"/>
                <w:shd w:val="clear" w:color="auto" w:fill="FFFFFF"/>
              </w:rPr>
            </w:pPr>
            <w:r>
              <w:rPr>
                <w:rFonts w:hint="eastAsia" w:ascii="宋体" w:hAnsi="宋体" w:eastAsia="宋体" w:cs="宋体"/>
                <w:i w:val="0"/>
                <w:color w:val="000000"/>
                <w:kern w:val="0"/>
                <w:sz w:val="18"/>
                <w:szCs w:val="18"/>
                <w:u w:val="none"/>
                <w:lang w:val="en-US" w:eastAsia="zh-CN" w:bidi="ar"/>
              </w:rPr>
              <w:t>32</w:t>
            </w:r>
          </w:p>
        </w:tc>
        <w:tc>
          <w:tcPr>
            <w:tcW w:w="20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color w:val="000000"/>
                <w:kern w:val="0"/>
                <w:sz w:val="18"/>
                <w:szCs w:val="18"/>
                <w:highlight w:val="none"/>
              </w:rPr>
            </w:pPr>
            <w:r>
              <w:rPr>
                <w:rFonts w:hint="eastAsia" w:ascii="宋体" w:hAnsi="宋体" w:eastAsia="宋体" w:cs="宋体"/>
                <w:i w:val="0"/>
                <w:color w:val="000000"/>
                <w:kern w:val="0"/>
                <w:sz w:val="22"/>
                <w:szCs w:val="22"/>
                <w:u w:val="none"/>
                <w:lang w:val="en-US" w:eastAsia="zh-CN" w:bidi="ar"/>
              </w:rPr>
              <w:t>5,716.43</w:t>
            </w:r>
          </w:p>
        </w:tc>
        <w:tc>
          <w:tcPr>
            <w:tcW w:w="2549" w:type="dxa"/>
            <w:gridSpan w:val="2"/>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b/>
                <w:color w:val="000000"/>
                <w:kern w:val="0"/>
                <w:highlight w:val="none"/>
                <w:shd w:val="clear" w:color="auto" w:fill="FFFFFF"/>
              </w:rPr>
            </w:pPr>
            <w:r>
              <w:rPr>
                <w:rFonts w:hint="eastAsia" w:ascii="宋体" w:hAnsi="宋体" w:eastAsia="宋体" w:cs="宋体"/>
                <w:b/>
                <w:i w:val="0"/>
                <w:color w:val="000000"/>
                <w:kern w:val="0"/>
                <w:sz w:val="21"/>
                <w:szCs w:val="21"/>
                <w:highlight w:val="none"/>
                <w:u w:val="none"/>
                <w:lang w:val="en-US" w:eastAsia="zh-CN" w:bidi="ar-SA"/>
              </w:rPr>
              <w:t>总计</w:t>
            </w:r>
          </w:p>
        </w:tc>
        <w:tc>
          <w:tcPr>
            <w:tcW w:w="82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w:t>
            </w:r>
          </w:p>
        </w:tc>
        <w:tc>
          <w:tcPr>
            <w:tcW w:w="157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5,716.43</w:t>
            </w:r>
          </w:p>
        </w:tc>
        <w:tc>
          <w:tcPr>
            <w:tcW w:w="1134"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color w:val="000000"/>
                <w:kern w:val="0"/>
                <w:highlight w:val="none"/>
                <w:shd w:val="clear" w:color="auto" w:fill="FFFFFF"/>
              </w:rPr>
            </w:pPr>
            <w:r>
              <w:rPr>
                <w:rFonts w:hint="eastAsia" w:ascii="宋体" w:hAnsi="宋体" w:eastAsia="宋体" w:cs="宋体"/>
                <w:i w:val="0"/>
                <w:color w:val="000000"/>
                <w:kern w:val="0"/>
                <w:sz w:val="22"/>
                <w:szCs w:val="22"/>
                <w:u w:val="none"/>
                <w:lang w:val="en-US" w:eastAsia="zh-CN" w:bidi="ar"/>
              </w:rPr>
              <w:t>2,531.29</w:t>
            </w:r>
          </w:p>
        </w:tc>
        <w:tc>
          <w:tcPr>
            <w:tcW w:w="131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b/>
                <w:color w:val="000000"/>
                <w:kern w:val="0"/>
                <w:highlight w:val="none"/>
              </w:rPr>
            </w:pPr>
            <w:r>
              <w:rPr>
                <w:rFonts w:hint="eastAsia" w:ascii="宋体" w:hAnsi="宋体" w:eastAsia="宋体" w:cs="宋体"/>
                <w:i w:val="0"/>
                <w:color w:val="000000"/>
                <w:kern w:val="0"/>
                <w:sz w:val="22"/>
                <w:szCs w:val="22"/>
                <w:u w:val="none"/>
                <w:lang w:val="en-US" w:eastAsia="zh-CN" w:bidi="ar"/>
              </w:rPr>
              <w:t>3,185.14</w:t>
            </w:r>
          </w:p>
        </w:tc>
        <w:tc>
          <w:tcPr>
            <w:tcW w:w="968"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highlight w:val="none"/>
              </w:rPr>
            </w:pPr>
            <w:r>
              <w:rPr>
                <w:rFonts w:hint="eastAsia" w:ascii="宋体" w:hAnsi="宋体" w:eastAsia="宋体" w:cs="宋体"/>
                <w:i w:val="0"/>
                <w:color w:val="000000"/>
                <w:kern w:val="0"/>
                <w:sz w:val="22"/>
                <w:szCs w:val="22"/>
                <w:u w:val="none"/>
                <w:lang w:val="en-US" w:eastAsia="zh-CN" w:bidi="ar"/>
              </w:rPr>
              <w:t>0.00</w:t>
            </w:r>
          </w:p>
        </w:tc>
      </w:tr>
    </w:tbl>
    <w:p>
      <w:pPr>
        <w:widowControl/>
        <w:spacing w:line="56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注：1.本表反映部门本年度一般公共预算财政拨款</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政府性基金预算财政拨款</w:t>
      </w:r>
      <w:r>
        <w:rPr>
          <w:rFonts w:hint="eastAsia" w:ascii="宋体" w:hAnsi="宋体" w:eastAsia="宋体" w:cs="宋体"/>
          <w:kern w:val="0"/>
          <w:sz w:val="21"/>
          <w:szCs w:val="21"/>
          <w:highlight w:val="none"/>
          <w:lang w:eastAsia="zh-CN"/>
        </w:rPr>
        <w:t>和</w:t>
      </w:r>
      <w:r>
        <w:rPr>
          <w:rFonts w:hint="eastAsia" w:ascii="宋体" w:hAnsi="宋体" w:eastAsia="宋体" w:cs="宋体"/>
          <w:kern w:val="0"/>
          <w:sz w:val="21"/>
          <w:szCs w:val="21"/>
          <w:highlight w:val="none"/>
          <w:lang w:val="en-US" w:eastAsia="zh-CN"/>
        </w:rPr>
        <w:t>国有资本经营预算财政拨款</w:t>
      </w:r>
      <w:r>
        <w:rPr>
          <w:rFonts w:hint="eastAsia" w:ascii="宋体" w:hAnsi="宋体" w:eastAsia="宋体" w:cs="宋体"/>
          <w:kern w:val="0"/>
          <w:sz w:val="21"/>
          <w:szCs w:val="21"/>
          <w:highlight w:val="none"/>
        </w:rPr>
        <w:t>的总收支和年末结转结余情况。</w:t>
      </w:r>
    </w:p>
    <w:p>
      <w:pPr>
        <w:widowControl/>
        <w:spacing w:line="560" w:lineRule="atLeast"/>
        <w:jc w:val="left"/>
        <w:rPr>
          <w:rFonts w:hint="default" w:ascii="宋体" w:hAnsi="宋体" w:eastAsia="宋体" w:cs="宋体"/>
          <w:kern w:val="0"/>
          <w:sz w:val="21"/>
          <w:szCs w:val="21"/>
          <w:highlight w:val="none"/>
        </w:rPr>
      </w:pPr>
      <w:r>
        <w:rPr>
          <w:rFonts w:hint="eastAsia" w:ascii="宋体" w:hAnsi="宋体" w:cs="宋体"/>
          <w:kern w:val="0"/>
          <w:sz w:val="21"/>
          <w:szCs w:val="21"/>
          <w:highlight w:val="none"/>
          <w:lang w:val="en-US" w:eastAsia="zh-CN"/>
        </w:rPr>
        <w:t>2.</w:t>
      </w:r>
      <w:r>
        <w:rPr>
          <w:rFonts w:hint="eastAsia" w:ascii="宋体" w:hAnsi="宋体" w:eastAsia="宋体" w:cs="宋体"/>
          <w:kern w:val="0"/>
          <w:sz w:val="21"/>
          <w:szCs w:val="21"/>
          <w:highlight w:val="none"/>
        </w:rPr>
        <w:t>本套报表金额单位转换时可能存在尾数误差。3.如本表为空，则我部门本年度无此类资金收支余。</w:t>
      </w:r>
    </w:p>
    <w:p>
      <w:pPr>
        <w:widowControl/>
        <w:spacing w:line="560" w:lineRule="atLeast"/>
        <w:rPr>
          <w:rFonts w:hint="eastAsia" w:ascii="仿宋_GB2312" w:hAnsi="宋体" w:eastAsia="仿宋_GB2312"/>
          <w:kern w:val="0"/>
          <w:sz w:val="24"/>
          <w:highlight w:val="none"/>
        </w:rPr>
      </w:pPr>
    </w:p>
    <w:p>
      <w:pPr>
        <w:widowControl/>
        <w:spacing w:line="560" w:lineRule="atLeast"/>
        <w:rPr>
          <w:rFonts w:hint="eastAsia" w:ascii="仿宋_GB2312" w:hAnsi="宋体" w:eastAsia="仿宋_GB2312"/>
          <w:kern w:val="0"/>
          <w:sz w:val="24"/>
          <w:highlight w:val="none"/>
        </w:rPr>
      </w:pPr>
    </w:p>
    <w:p>
      <w:pPr>
        <w:widowControl/>
        <w:spacing w:line="560" w:lineRule="atLeast"/>
        <w:rPr>
          <w:rFonts w:hint="eastAsia" w:ascii="仿宋_GB2312" w:hAnsi="宋体" w:eastAsia="仿宋_GB2312"/>
          <w:kern w:val="0"/>
          <w:sz w:val="24"/>
          <w:highlight w:val="none"/>
        </w:rPr>
      </w:pPr>
    </w:p>
    <w:p>
      <w:pPr>
        <w:widowControl/>
        <w:spacing w:line="560" w:lineRule="atLeast"/>
        <w:rPr>
          <w:rFonts w:hint="eastAsia" w:ascii="仿宋_GB2312" w:hAnsi="宋体" w:eastAsia="仿宋_GB2312"/>
          <w:kern w:val="0"/>
          <w:sz w:val="24"/>
          <w:highlight w:val="none"/>
        </w:rPr>
      </w:pPr>
    </w:p>
    <w:p>
      <w:pPr>
        <w:widowControl/>
        <w:spacing w:line="560" w:lineRule="atLeast"/>
        <w:rPr>
          <w:rFonts w:hint="eastAsia" w:ascii="仿宋_GB2312" w:hAnsi="宋体" w:eastAsia="仿宋_GB2312"/>
          <w:kern w:val="0"/>
          <w:sz w:val="24"/>
          <w:highlight w:val="none"/>
        </w:rPr>
      </w:pPr>
    </w:p>
    <w:p>
      <w:pPr>
        <w:widowControl/>
        <w:spacing w:line="560" w:lineRule="atLeast"/>
        <w:rPr>
          <w:rFonts w:hint="eastAsia" w:ascii="仿宋_GB2312" w:hAnsi="宋体" w:eastAsia="仿宋_GB2312"/>
          <w:kern w:val="0"/>
          <w:sz w:val="24"/>
          <w:highlight w:val="none"/>
        </w:rPr>
      </w:pPr>
    </w:p>
    <w:p>
      <w:pPr>
        <w:widowControl/>
        <w:spacing w:line="560" w:lineRule="atLeast"/>
        <w:rPr>
          <w:rFonts w:hint="eastAsia" w:ascii="仿宋_GB2312" w:hAnsi="宋体" w:eastAsia="仿宋_GB2312"/>
          <w:kern w:val="0"/>
          <w:sz w:val="24"/>
          <w:highlight w:val="none"/>
        </w:rPr>
      </w:pPr>
      <w:r>
        <w:rPr>
          <w:rFonts w:hint="eastAsia" w:ascii="仿宋_GB2312" w:hAnsi="宋体" w:eastAsia="仿宋_GB2312"/>
          <w:kern w:val="0"/>
          <w:sz w:val="24"/>
          <w:highlight w:val="none"/>
        </w:rPr>
        <w:t>附件1-5</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43"/>
        <w:gridCol w:w="789"/>
        <w:gridCol w:w="1266"/>
        <w:gridCol w:w="1266"/>
        <w:gridCol w:w="1266"/>
        <w:gridCol w:w="1924"/>
        <w:gridCol w:w="608"/>
        <w:gridCol w:w="1942"/>
        <w:gridCol w:w="1800"/>
        <w:gridCol w:w="1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4174" w:type="dxa"/>
            <w:gridSpan w:val="10"/>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default" w:ascii="宋体"/>
                <w:b/>
                <w:color w:val="000000"/>
                <w:kern w:val="0"/>
                <w:highlight w:val="none"/>
                <w:shd w:val="clear" w:color="auto" w:fill="FFFFFF"/>
              </w:rPr>
            </w:pPr>
            <w:r>
              <w:rPr>
                <w:rFonts w:hint="eastAsia" w:ascii="宋体" w:hAnsi="宋体" w:eastAsia="宋体" w:cs="宋体"/>
                <w:b/>
                <w:i w:val="0"/>
                <w:color w:val="000000"/>
                <w:kern w:val="0"/>
                <w:sz w:val="28"/>
                <w:szCs w:val="28"/>
                <w:highlight w:val="none"/>
                <w:u w:val="none"/>
                <w:lang w:val="en-US" w:eastAsia="zh-CN" w:bidi="ar-SA"/>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jc w:val="center"/>
        </w:trPr>
        <w:tc>
          <w:tcPr>
            <w:tcW w:w="2532" w:type="dxa"/>
            <w:gridSpan w:val="2"/>
            <w:tcBorders>
              <w:top w:val="nil"/>
              <w:left w:val="nil"/>
              <w:bottom w:val="nil"/>
              <w:right w:val="nil"/>
            </w:tcBorders>
            <w:shd w:val="clear" w:color="auto" w:fill="FFFFFF"/>
            <w:vAlign w:val="bottom"/>
          </w:tcPr>
          <w:p>
            <w:pPr>
              <w:jc w:val="left"/>
              <w:rPr>
                <w:rFonts w:hint="default" w:ascii="宋体"/>
                <w:color w:val="000000"/>
                <w:kern w:val="0"/>
                <w:sz w:val="18"/>
                <w:highlight w:val="none"/>
                <w:shd w:val="clear" w:color="auto" w:fill="FFFFFF"/>
              </w:rPr>
            </w:pPr>
          </w:p>
        </w:tc>
        <w:tc>
          <w:tcPr>
            <w:tcW w:w="1266" w:type="dxa"/>
            <w:tcBorders>
              <w:top w:val="nil"/>
              <w:left w:val="nil"/>
              <w:bottom w:val="nil"/>
              <w:right w:val="nil"/>
            </w:tcBorders>
            <w:shd w:val="clear" w:color="auto" w:fill="FFFFFF"/>
            <w:vAlign w:val="bottom"/>
          </w:tcPr>
          <w:p>
            <w:pPr>
              <w:jc w:val="left"/>
              <w:rPr>
                <w:rFonts w:hint="default" w:ascii="宋体"/>
                <w:color w:val="000000"/>
                <w:kern w:val="0"/>
                <w:sz w:val="18"/>
                <w:highlight w:val="none"/>
                <w:shd w:val="clear" w:color="auto" w:fill="FFFFFF"/>
              </w:rPr>
            </w:pPr>
          </w:p>
        </w:tc>
        <w:tc>
          <w:tcPr>
            <w:tcW w:w="1266" w:type="dxa"/>
            <w:tcBorders>
              <w:top w:val="nil"/>
              <w:left w:val="nil"/>
              <w:bottom w:val="nil"/>
              <w:right w:val="nil"/>
            </w:tcBorders>
            <w:shd w:val="clear" w:color="auto" w:fill="FFFFFF"/>
            <w:vAlign w:val="bottom"/>
          </w:tcPr>
          <w:p>
            <w:pPr>
              <w:jc w:val="left"/>
              <w:rPr>
                <w:rFonts w:hint="default" w:ascii="宋体"/>
                <w:color w:val="000000"/>
                <w:kern w:val="0"/>
                <w:sz w:val="18"/>
                <w:highlight w:val="none"/>
                <w:shd w:val="clear" w:color="auto" w:fill="FFFFFF"/>
              </w:rPr>
            </w:pPr>
          </w:p>
        </w:tc>
        <w:tc>
          <w:tcPr>
            <w:tcW w:w="1266" w:type="dxa"/>
            <w:tcBorders>
              <w:top w:val="nil"/>
              <w:left w:val="nil"/>
              <w:bottom w:val="nil"/>
              <w:right w:val="nil"/>
            </w:tcBorders>
            <w:shd w:val="clear" w:color="auto" w:fill="FFFFFF"/>
            <w:vAlign w:val="bottom"/>
          </w:tcPr>
          <w:p>
            <w:pPr>
              <w:jc w:val="left"/>
              <w:rPr>
                <w:rFonts w:hint="default" w:ascii="宋体"/>
                <w:color w:val="000000"/>
                <w:kern w:val="0"/>
                <w:sz w:val="18"/>
                <w:highlight w:val="none"/>
                <w:shd w:val="clear" w:color="auto" w:fill="FFFFFF"/>
              </w:rPr>
            </w:pPr>
          </w:p>
        </w:tc>
        <w:tc>
          <w:tcPr>
            <w:tcW w:w="1924" w:type="dxa"/>
            <w:tcBorders>
              <w:top w:val="nil"/>
              <w:left w:val="nil"/>
              <w:bottom w:val="nil"/>
              <w:right w:val="nil"/>
            </w:tcBorders>
            <w:shd w:val="clear" w:color="auto" w:fill="FFFFFF"/>
            <w:vAlign w:val="bottom"/>
          </w:tcPr>
          <w:p>
            <w:pPr>
              <w:jc w:val="left"/>
              <w:rPr>
                <w:rFonts w:hint="default" w:ascii="宋体"/>
                <w:color w:val="000000"/>
                <w:kern w:val="0"/>
                <w:sz w:val="18"/>
                <w:highlight w:val="none"/>
                <w:shd w:val="clear" w:color="auto" w:fill="FFFFFF"/>
              </w:rPr>
            </w:pPr>
          </w:p>
        </w:tc>
        <w:tc>
          <w:tcPr>
            <w:tcW w:w="608" w:type="dxa"/>
            <w:tcBorders>
              <w:top w:val="nil"/>
              <w:left w:val="nil"/>
              <w:bottom w:val="nil"/>
              <w:right w:val="nil"/>
            </w:tcBorders>
            <w:shd w:val="clear" w:color="auto" w:fill="FFFFFF"/>
            <w:vAlign w:val="bottom"/>
          </w:tcPr>
          <w:p>
            <w:pPr>
              <w:jc w:val="left"/>
              <w:rPr>
                <w:rFonts w:hint="default" w:ascii="宋体"/>
                <w:color w:val="000000"/>
                <w:kern w:val="0"/>
                <w:sz w:val="18"/>
                <w:highlight w:val="none"/>
                <w:shd w:val="clear" w:color="auto" w:fill="FFFFFF"/>
              </w:rPr>
            </w:pPr>
          </w:p>
        </w:tc>
        <w:tc>
          <w:tcPr>
            <w:tcW w:w="1942" w:type="dxa"/>
            <w:tcBorders>
              <w:top w:val="nil"/>
              <w:left w:val="nil"/>
              <w:bottom w:val="nil"/>
              <w:right w:val="nil"/>
            </w:tcBorders>
            <w:shd w:val="clear" w:color="auto" w:fill="FFFFFF"/>
            <w:vAlign w:val="bottom"/>
          </w:tcPr>
          <w:p>
            <w:pPr>
              <w:jc w:val="left"/>
              <w:rPr>
                <w:rFonts w:hint="default" w:ascii="宋体"/>
                <w:color w:val="000000"/>
                <w:kern w:val="0"/>
                <w:sz w:val="18"/>
                <w:highlight w:val="none"/>
                <w:shd w:val="clear" w:color="auto" w:fill="FFFFFF"/>
              </w:rPr>
            </w:pPr>
          </w:p>
        </w:tc>
        <w:tc>
          <w:tcPr>
            <w:tcW w:w="1800" w:type="dxa"/>
            <w:tcBorders>
              <w:top w:val="nil"/>
              <w:left w:val="nil"/>
              <w:bottom w:val="nil"/>
              <w:right w:val="nil"/>
            </w:tcBorders>
            <w:shd w:val="clear" w:color="auto" w:fill="FFFFFF"/>
            <w:vAlign w:val="bottom"/>
          </w:tcPr>
          <w:p>
            <w:pPr>
              <w:rPr>
                <w:rFonts w:hint="default" w:ascii="宋体"/>
                <w:color w:val="000000"/>
                <w:kern w:val="0"/>
                <w:highlight w:val="none"/>
                <w:shd w:val="clear" w:color="auto" w:fill="FFFFFF"/>
              </w:rPr>
            </w:pPr>
          </w:p>
        </w:tc>
        <w:tc>
          <w:tcPr>
            <w:tcW w:w="1570" w:type="dxa"/>
            <w:tcBorders>
              <w:top w:val="nil"/>
              <w:left w:val="nil"/>
              <w:bottom w:val="nil"/>
              <w:right w:val="nil"/>
            </w:tcBorders>
            <w:shd w:val="clear" w:color="auto" w:fill="FFFFFF"/>
            <w:vAlign w:val="bottom"/>
          </w:tcPr>
          <w:p>
            <w:pPr>
              <w:keepNext w:val="0"/>
              <w:keepLines w:val="0"/>
              <w:widowControl/>
              <w:suppressLineNumbers w:val="0"/>
              <w:jc w:val="right"/>
              <w:textAlignment w:val="bottom"/>
              <w:rPr>
                <w:highlight w:val="none"/>
              </w:rPr>
            </w:pPr>
            <w:r>
              <w:rPr>
                <w:rFonts w:hint="eastAsia" w:ascii="宋体" w:hAnsi="宋体" w:eastAsia="宋体" w:cs="宋体"/>
                <w:i w:val="0"/>
                <w:color w:val="000000"/>
                <w:kern w:val="0"/>
                <w:sz w:val="21"/>
                <w:szCs w:val="21"/>
                <w:highlight w:val="none"/>
                <w:u w:val="none"/>
                <w:lang w:val="en-US" w:eastAsia="zh-CN" w:bidi="ar-SA"/>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532" w:type="dxa"/>
            <w:gridSpan w:val="2"/>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default" w:ascii="宋体"/>
                <w:color w:val="000000"/>
                <w:kern w:val="0"/>
                <w:highlight w:val="none"/>
                <w:shd w:val="clear" w:color="auto" w:fill="FFFFFF"/>
              </w:rPr>
            </w:pPr>
            <w:r>
              <w:rPr>
                <w:rFonts w:hint="eastAsia" w:ascii="宋体" w:hAnsi="宋体" w:eastAsia="宋体" w:cs="宋体"/>
                <w:i w:val="0"/>
                <w:color w:val="000000"/>
                <w:kern w:val="0"/>
                <w:sz w:val="21"/>
                <w:szCs w:val="21"/>
                <w:highlight w:val="none"/>
                <w:u w:val="none"/>
                <w:lang w:val="en-US" w:eastAsia="zh-CN" w:bidi="ar-SA"/>
              </w:rPr>
              <w:t>部门：</w:t>
            </w:r>
            <w:r>
              <w:rPr>
                <w:rFonts w:hint="eastAsia" w:ascii="宋体" w:hAnsi="宋体"/>
                <w:color w:val="000000"/>
                <w:kern w:val="0"/>
                <w:highlight w:val="none"/>
                <w:shd w:val="clear" w:color="auto" w:fill="FFFFFF"/>
                <w:lang w:eastAsia="zh-CN"/>
              </w:rPr>
              <w:t>沈阳市体育局本级</w:t>
            </w:r>
          </w:p>
        </w:tc>
        <w:tc>
          <w:tcPr>
            <w:tcW w:w="1266" w:type="dxa"/>
            <w:tcBorders>
              <w:top w:val="nil"/>
              <w:left w:val="nil"/>
              <w:bottom w:val="nil"/>
              <w:right w:val="nil"/>
            </w:tcBorders>
            <w:shd w:val="clear" w:color="auto" w:fill="FFFFFF"/>
            <w:vAlign w:val="bottom"/>
          </w:tcPr>
          <w:p>
            <w:pPr>
              <w:jc w:val="left"/>
              <w:rPr>
                <w:rFonts w:hint="default" w:ascii="宋体"/>
                <w:color w:val="000000"/>
                <w:kern w:val="0"/>
                <w:highlight w:val="none"/>
                <w:shd w:val="clear" w:color="auto" w:fill="FFFFFF"/>
              </w:rPr>
            </w:pPr>
          </w:p>
        </w:tc>
        <w:tc>
          <w:tcPr>
            <w:tcW w:w="2532" w:type="dxa"/>
            <w:gridSpan w:val="2"/>
            <w:tcBorders>
              <w:top w:val="nil"/>
              <w:left w:val="nil"/>
              <w:bottom w:val="nil"/>
              <w:right w:val="nil"/>
            </w:tcBorders>
            <w:shd w:val="clear" w:color="auto" w:fill="FFFFFF"/>
            <w:vAlign w:val="bottom"/>
          </w:tcPr>
          <w:p>
            <w:pPr>
              <w:jc w:val="left"/>
              <w:rPr>
                <w:rFonts w:hint="default" w:ascii="宋体"/>
                <w:color w:val="000000"/>
                <w:kern w:val="0"/>
                <w:highlight w:val="none"/>
                <w:shd w:val="clear" w:color="auto" w:fill="FFFFFF"/>
              </w:rPr>
            </w:pPr>
          </w:p>
        </w:tc>
        <w:tc>
          <w:tcPr>
            <w:tcW w:w="1924" w:type="dxa"/>
            <w:tcBorders>
              <w:top w:val="nil"/>
              <w:left w:val="nil"/>
              <w:bottom w:val="nil"/>
              <w:right w:val="nil"/>
            </w:tcBorders>
            <w:shd w:val="clear" w:color="auto" w:fill="FFFFFF"/>
            <w:vAlign w:val="bottom"/>
          </w:tcPr>
          <w:p>
            <w:pPr>
              <w:jc w:val="left"/>
              <w:rPr>
                <w:rFonts w:hint="default" w:ascii="宋体"/>
                <w:color w:val="000000"/>
                <w:kern w:val="0"/>
                <w:highlight w:val="none"/>
                <w:shd w:val="clear" w:color="auto" w:fill="FFFFFF"/>
              </w:rPr>
            </w:pPr>
          </w:p>
        </w:tc>
        <w:tc>
          <w:tcPr>
            <w:tcW w:w="608" w:type="dxa"/>
            <w:tcBorders>
              <w:top w:val="nil"/>
              <w:left w:val="nil"/>
              <w:bottom w:val="nil"/>
              <w:right w:val="nil"/>
            </w:tcBorders>
            <w:shd w:val="clear" w:color="auto" w:fill="FFFFFF"/>
            <w:vAlign w:val="bottom"/>
          </w:tcPr>
          <w:p>
            <w:pPr>
              <w:jc w:val="left"/>
              <w:rPr>
                <w:rFonts w:hint="default" w:ascii="宋体"/>
                <w:color w:val="000000"/>
                <w:kern w:val="0"/>
                <w:highlight w:val="none"/>
                <w:shd w:val="clear" w:color="auto" w:fill="FFFFFF"/>
              </w:rPr>
            </w:pPr>
          </w:p>
        </w:tc>
        <w:tc>
          <w:tcPr>
            <w:tcW w:w="1942" w:type="dxa"/>
            <w:tcBorders>
              <w:top w:val="nil"/>
              <w:left w:val="nil"/>
              <w:bottom w:val="nil"/>
              <w:right w:val="nil"/>
            </w:tcBorders>
            <w:shd w:val="clear" w:color="auto" w:fill="FFFFFF"/>
            <w:vAlign w:val="bottom"/>
          </w:tcPr>
          <w:p>
            <w:pPr>
              <w:jc w:val="left"/>
              <w:rPr>
                <w:rFonts w:hint="default" w:ascii="宋体"/>
                <w:color w:val="000000"/>
                <w:kern w:val="0"/>
                <w:highlight w:val="none"/>
                <w:shd w:val="clear" w:color="auto" w:fill="FFFFFF"/>
              </w:rPr>
            </w:pPr>
          </w:p>
        </w:tc>
        <w:tc>
          <w:tcPr>
            <w:tcW w:w="1800" w:type="dxa"/>
            <w:tcBorders>
              <w:top w:val="nil"/>
              <w:left w:val="nil"/>
              <w:bottom w:val="nil"/>
              <w:right w:val="nil"/>
            </w:tcBorders>
            <w:shd w:val="clear" w:color="auto" w:fill="FFFFFF"/>
            <w:vAlign w:val="bottom"/>
          </w:tcPr>
          <w:p>
            <w:pPr>
              <w:rPr>
                <w:rFonts w:hint="default" w:ascii="宋体"/>
                <w:color w:val="000000"/>
                <w:kern w:val="0"/>
                <w:highlight w:val="none"/>
                <w:shd w:val="clear" w:color="auto" w:fill="FFFFFF"/>
              </w:rPr>
            </w:pPr>
          </w:p>
        </w:tc>
        <w:tc>
          <w:tcPr>
            <w:tcW w:w="1570" w:type="dxa"/>
            <w:tcBorders>
              <w:top w:val="nil"/>
              <w:left w:val="nil"/>
              <w:bottom w:val="nil"/>
              <w:right w:val="nil"/>
            </w:tcBorders>
            <w:shd w:val="clear" w:color="auto" w:fill="FFFFFF"/>
            <w:vAlign w:val="bottom"/>
          </w:tcPr>
          <w:p>
            <w:pPr>
              <w:keepNext w:val="0"/>
              <w:keepLines w:val="0"/>
              <w:widowControl/>
              <w:suppressLineNumbers w:val="0"/>
              <w:jc w:val="right"/>
              <w:textAlignment w:val="bottom"/>
              <w:rPr>
                <w:highlight w:val="none"/>
              </w:rPr>
            </w:pPr>
            <w:r>
              <w:rPr>
                <w:rFonts w:hint="eastAsia" w:ascii="宋体" w:hAnsi="宋体" w:eastAsia="宋体" w:cs="宋体"/>
                <w:i w:val="0"/>
                <w:color w:val="000000"/>
                <w:kern w:val="0"/>
                <w:sz w:val="21"/>
                <w:szCs w:val="21"/>
                <w:highlight w:val="none"/>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254" w:type="dxa"/>
            <w:gridSpan w:val="6"/>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cs="宋体"/>
                <w:i w:val="0"/>
                <w:color w:val="000000"/>
                <w:kern w:val="0"/>
                <w:sz w:val="21"/>
                <w:szCs w:val="21"/>
                <w:highlight w:val="none"/>
                <w:u w:val="none"/>
                <w:lang w:val="en-US" w:eastAsia="zh-CN" w:bidi="ar-SA"/>
              </w:rPr>
              <w:t>项目</w:t>
            </w:r>
          </w:p>
        </w:tc>
        <w:tc>
          <w:tcPr>
            <w:tcW w:w="5920" w:type="dxa"/>
            <w:gridSpan w:val="4"/>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eastAsia="宋体" w:cs="宋体"/>
                <w:i w:val="0"/>
                <w:color w:val="000000"/>
                <w:kern w:val="0"/>
                <w:sz w:val="21"/>
                <w:szCs w:val="21"/>
                <w:highlight w:val="none"/>
                <w:u w:val="none"/>
                <w:lang w:val="en-US" w:eastAsia="zh-CN" w:bidi="ar-SA"/>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7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eastAsia="宋体"/>
                <w:color w:val="000000"/>
                <w:kern w:val="0"/>
                <w:highlight w:val="none"/>
                <w:lang w:val="en-US" w:eastAsia="zh-CN"/>
              </w:rPr>
            </w:pPr>
            <w:r>
              <w:rPr>
                <w:rFonts w:hint="eastAsia" w:ascii="宋体"/>
                <w:color w:val="000000"/>
                <w:kern w:val="0"/>
                <w:highlight w:val="none"/>
                <w:lang w:val="en-US" w:eastAsia="zh-CN"/>
              </w:rPr>
              <w:t>功能分类科目编码</w:t>
            </w:r>
          </w:p>
        </w:tc>
        <w:tc>
          <w:tcPr>
            <w:tcW w:w="6511"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color w:val="000000"/>
                <w:kern w:val="0"/>
                <w:highlight w:val="none"/>
                <w:lang w:val="en-US" w:eastAsia="zh-CN"/>
              </w:rPr>
            </w:pPr>
            <w:r>
              <w:rPr>
                <w:rFonts w:hint="eastAsia" w:ascii="宋体"/>
                <w:color w:val="000000"/>
                <w:kern w:val="0"/>
                <w:highlight w:val="none"/>
                <w:lang w:val="en-US" w:eastAsia="zh-CN"/>
              </w:rPr>
              <w:t>科目名称</w:t>
            </w:r>
          </w:p>
        </w:tc>
        <w:tc>
          <w:tcPr>
            <w:tcW w:w="2550" w:type="dxa"/>
            <w:gridSpan w:val="2"/>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eastAsia="宋体" w:cs="宋体"/>
                <w:i w:val="0"/>
                <w:color w:val="000000"/>
                <w:kern w:val="0"/>
                <w:sz w:val="21"/>
                <w:szCs w:val="21"/>
                <w:highlight w:val="none"/>
                <w:u w:val="none"/>
                <w:lang w:val="en-US" w:eastAsia="zh-CN" w:bidi="ar-SA"/>
              </w:rPr>
              <w:t>合计</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eastAsia="宋体" w:cs="宋体"/>
                <w:i w:val="0"/>
                <w:color w:val="000000"/>
                <w:kern w:val="0"/>
                <w:sz w:val="21"/>
                <w:szCs w:val="21"/>
                <w:highlight w:val="none"/>
                <w:u w:val="none"/>
                <w:lang w:val="en-US" w:eastAsia="zh-CN" w:bidi="ar-SA"/>
              </w:rPr>
              <w:t>基本支出</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eastAsia="宋体" w:cs="宋体"/>
                <w:i w:val="0"/>
                <w:color w:val="000000"/>
                <w:kern w:val="0"/>
                <w:sz w:val="21"/>
                <w:szCs w:val="21"/>
                <w:highlight w:val="none"/>
                <w:u w:val="none"/>
                <w:lang w:val="en-US" w:eastAsia="zh-CN" w:bidi="ar-SA"/>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8254" w:type="dxa"/>
            <w:gridSpan w:val="6"/>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SA"/>
              </w:rPr>
            </w:pPr>
            <w:r>
              <w:rPr>
                <w:rFonts w:hint="eastAsia" w:ascii="宋体" w:hAnsi="宋体" w:cs="宋体"/>
                <w:i w:val="0"/>
                <w:color w:val="000000"/>
                <w:kern w:val="0"/>
                <w:sz w:val="21"/>
                <w:szCs w:val="21"/>
                <w:highlight w:val="none"/>
                <w:u w:val="none"/>
                <w:lang w:val="en-US" w:eastAsia="zh-CN" w:bidi="ar-SA"/>
              </w:rPr>
              <w:t>栏次</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1"/>
                <w:szCs w:val="21"/>
                <w:highlight w:val="none"/>
                <w:u w:val="none"/>
                <w:lang w:val="en-US" w:eastAsia="zh-CN" w:bidi="ar-SA"/>
              </w:rPr>
            </w:pPr>
            <w:r>
              <w:rPr>
                <w:rFonts w:hint="eastAsia" w:ascii="宋体" w:hAnsi="宋体" w:cs="宋体"/>
                <w:i w:val="0"/>
                <w:color w:val="000000"/>
                <w:kern w:val="0"/>
                <w:sz w:val="21"/>
                <w:szCs w:val="21"/>
                <w:highlight w:val="none"/>
                <w:u w:val="none"/>
                <w:lang w:val="en-US" w:eastAsia="zh-CN" w:bidi="ar-SA"/>
              </w:rPr>
              <w:t>1</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1"/>
                <w:szCs w:val="21"/>
                <w:highlight w:val="none"/>
                <w:u w:val="none"/>
                <w:lang w:val="en-US" w:eastAsia="zh-CN" w:bidi="ar-SA"/>
              </w:rPr>
            </w:pPr>
            <w:r>
              <w:rPr>
                <w:rFonts w:hint="eastAsia" w:ascii="宋体" w:hAnsi="宋体" w:cs="宋体"/>
                <w:i w:val="0"/>
                <w:color w:val="000000"/>
                <w:kern w:val="0"/>
                <w:sz w:val="21"/>
                <w:szCs w:val="21"/>
                <w:highlight w:val="none"/>
                <w:u w:val="none"/>
                <w:lang w:val="en-US" w:eastAsia="zh-CN" w:bidi="ar-SA"/>
              </w:rPr>
              <w:t>2</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1"/>
                <w:szCs w:val="21"/>
                <w:highlight w:val="none"/>
                <w:u w:val="none"/>
                <w:lang w:val="en-US" w:eastAsia="zh-CN" w:bidi="ar-SA"/>
              </w:rPr>
            </w:pPr>
            <w:r>
              <w:rPr>
                <w:rFonts w:hint="eastAsia" w:ascii="宋体" w:hAnsi="宋体" w:cs="宋体"/>
                <w:i w:val="0"/>
                <w:color w:val="000000"/>
                <w:kern w:val="0"/>
                <w:sz w:val="21"/>
                <w:szCs w:val="21"/>
                <w:highlight w:val="none"/>
                <w:u w:val="none"/>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254" w:type="dxa"/>
            <w:gridSpan w:val="6"/>
            <w:tcBorders>
              <w:top w:val="nil"/>
              <w:left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cs="宋体"/>
                <w:i w:val="0"/>
                <w:color w:val="000000"/>
                <w:kern w:val="0"/>
                <w:sz w:val="21"/>
                <w:szCs w:val="21"/>
                <w:highlight w:val="none"/>
                <w:u w:val="none"/>
                <w:lang w:val="en-US" w:eastAsia="zh-CN" w:bidi="ar-SA"/>
              </w:rPr>
              <w:t>合计</w:t>
            </w:r>
          </w:p>
        </w:tc>
        <w:tc>
          <w:tcPr>
            <w:tcW w:w="2550" w:type="dxa"/>
            <w:gridSpan w:val="2"/>
            <w:tcBorders>
              <w:top w:val="single" w:color="000000" w:sz="4" w:space="0"/>
              <w:left w:val="nil"/>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2,531.29</w:t>
            </w:r>
          </w:p>
        </w:tc>
        <w:tc>
          <w:tcPr>
            <w:tcW w:w="1800" w:type="dxa"/>
            <w:tcBorders>
              <w:top w:val="single" w:color="000000" w:sz="4" w:space="0"/>
              <w:left w:val="nil"/>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1,917.17</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614.12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207</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文化旅游体育与传媒支出</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2,260.75</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1,646.63</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614.12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20703</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体育</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1,760.75</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1,646.63</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2070301</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1,646.63</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1,646.63</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2070302</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38.50</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2070399</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 xml:space="preserve">  其他体育支出</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75.62</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75.62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20799</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其他文化旅游体育与传媒支出</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500.00</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2079999</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 xml:space="preserve">  其他文化旅游体育与传媒支出</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500.00</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208</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社会保障和就业支出</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115.82</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115.82</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20805</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115.82</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115.82</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2080501</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43.07</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43.07</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2080505</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72.75</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72.75</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210</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卫生健康支出</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21011</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行政事业单位医疗</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2101101</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221</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住房保障支出</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119.70</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119.70</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22102</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住房改革支出</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119.70</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119.70</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2210201</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102.90</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102.90</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2210203</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 xml:space="preserve">  购房补贴</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16.80</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16.80</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207</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文化旅游体育与传媒支出</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2,531.29</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1,917.17</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614.12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20703</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体育</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2,260.75</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1,646.63</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614.12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2070301</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1,760.75</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1,646.63</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2070302</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1,646.63</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1,646.63</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2070399</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 xml:space="preserve">  其他体育支出</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38.50</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20799</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其他文化旅游体育与传媒支出</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75.62</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75.62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2079999</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 xml:space="preserve">  其他文化旅游体育与传媒支出</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500.00</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208</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社会保障和就业支出</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500.00</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20805</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115.82</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115.82</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2080501</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115.82</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115.82</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2080505</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43.07</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43.07</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210</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卫生健康支出</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72.75</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72.75</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21011</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行政事业单位医疗</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2101101</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221</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住房保障支出</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35.02</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22102</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住房改革支出</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119.70</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119.70</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2210201</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住房公积金</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119.70</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119.70</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2210203</w:t>
            </w:r>
          </w:p>
        </w:tc>
        <w:tc>
          <w:tcPr>
            <w:tcW w:w="6511" w:type="dxa"/>
            <w:gridSpan w:val="5"/>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购房补贴</w:t>
            </w:r>
          </w:p>
        </w:tc>
        <w:tc>
          <w:tcPr>
            <w:tcW w:w="2550"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102.90</w:t>
            </w:r>
          </w:p>
        </w:tc>
        <w:tc>
          <w:tcPr>
            <w:tcW w:w="18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102.90</w:t>
            </w:r>
          </w:p>
        </w:tc>
        <w:tc>
          <w:tcPr>
            <w:tcW w:w="157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bl>
    <w:p>
      <w:pPr>
        <w:widowControl/>
        <w:spacing w:line="56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注：1.本表反映部门本年度一般公共预算财政拨款支出情况。2.本套报表金额单位转换时可能存在尾数误差。3.如本表为空，则我部门本年度无此类资金收支余。</w:t>
      </w:r>
    </w:p>
    <w:p>
      <w:pPr>
        <w:widowControl/>
        <w:spacing w:line="560" w:lineRule="atLeast"/>
        <w:ind w:right="-1100" w:firstLine="480"/>
        <w:jc w:val="left"/>
        <w:rPr>
          <w:rFonts w:hint="default" w:ascii="仿宋_GB2312" w:hAnsi="宋体" w:eastAsia="仿宋_GB2312"/>
          <w:kern w:val="0"/>
          <w:sz w:val="24"/>
          <w:highlight w:val="none"/>
        </w:rPr>
      </w:pPr>
    </w:p>
    <w:p>
      <w:pPr>
        <w:widowControl/>
        <w:spacing w:line="560" w:lineRule="atLeast"/>
        <w:ind w:right="-1100" w:firstLine="480"/>
        <w:jc w:val="left"/>
        <w:rPr>
          <w:rFonts w:hint="default" w:ascii="仿宋_GB2312" w:hAnsi="宋体" w:eastAsia="仿宋_GB2312"/>
          <w:kern w:val="0"/>
          <w:sz w:val="24"/>
          <w:highlight w:val="none"/>
        </w:rPr>
      </w:pPr>
    </w:p>
    <w:p>
      <w:pPr>
        <w:widowControl/>
        <w:spacing w:line="560" w:lineRule="atLeast"/>
        <w:ind w:right="-1100" w:firstLine="480"/>
        <w:jc w:val="left"/>
        <w:rPr>
          <w:rFonts w:hint="default" w:ascii="仿宋_GB2312" w:hAnsi="宋体" w:eastAsia="仿宋_GB2312"/>
          <w:kern w:val="0"/>
          <w:sz w:val="24"/>
          <w:highlight w:val="none"/>
        </w:rPr>
      </w:pPr>
    </w:p>
    <w:p>
      <w:pPr>
        <w:widowControl/>
        <w:spacing w:line="560" w:lineRule="atLeast"/>
        <w:ind w:right="-1100" w:firstLine="480"/>
        <w:jc w:val="left"/>
        <w:rPr>
          <w:rFonts w:hint="default" w:ascii="仿宋_GB2312" w:hAnsi="宋体" w:eastAsia="仿宋_GB2312"/>
          <w:kern w:val="0"/>
          <w:sz w:val="24"/>
          <w:highlight w:val="none"/>
        </w:rPr>
      </w:pPr>
    </w:p>
    <w:p>
      <w:pPr>
        <w:widowControl/>
        <w:spacing w:line="560" w:lineRule="atLeast"/>
        <w:ind w:right="-1100" w:firstLine="480"/>
        <w:jc w:val="left"/>
        <w:rPr>
          <w:rFonts w:hint="default" w:ascii="仿宋_GB2312" w:hAnsi="宋体" w:eastAsia="仿宋_GB2312"/>
          <w:kern w:val="0"/>
          <w:sz w:val="24"/>
          <w:highlight w:val="none"/>
        </w:rPr>
      </w:pPr>
    </w:p>
    <w:p>
      <w:pPr>
        <w:widowControl/>
        <w:spacing w:line="560" w:lineRule="atLeast"/>
        <w:ind w:right="-1100" w:firstLine="480"/>
        <w:jc w:val="left"/>
        <w:rPr>
          <w:rFonts w:hint="default" w:ascii="仿宋_GB2312" w:hAnsi="宋体" w:eastAsia="仿宋_GB2312"/>
          <w:kern w:val="0"/>
          <w:sz w:val="24"/>
          <w:highlight w:val="none"/>
        </w:rPr>
      </w:pPr>
    </w:p>
    <w:p>
      <w:pPr>
        <w:widowControl/>
        <w:spacing w:line="560" w:lineRule="atLeast"/>
        <w:ind w:right="-1100" w:firstLine="480"/>
        <w:jc w:val="left"/>
        <w:rPr>
          <w:rFonts w:hint="default" w:ascii="仿宋_GB2312" w:hAnsi="宋体" w:eastAsia="仿宋_GB2312"/>
          <w:kern w:val="0"/>
          <w:sz w:val="24"/>
          <w:highlight w:val="none"/>
        </w:rPr>
      </w:pPr>
    </w:p>
    <w:p>
      <w:pPr>
        <w:widowControl/>
        <w:spacing w:line="560" w:lineRule="atLeast"/>
        <w:ind w:right="-1100"/>
        <w:jc w:val="left"/>
        <w:rPr>
          <w:rFonts w:hint="default" w:ascii="仿宋_GB2312" w:hAnsi="宋体" w:eastAsia="仿宋_GB2312"/>
          <w:kern w:val="0"/>
          <w:sz w:val="24"/>
          <w:highlight w:val="none"/>
        </w:rPr>
      </w:pPr>
    </w:p>
    <w:p>
      <w:pPr>
        <w:widowControl/>
        <w:spacing w:line="560" w:lineRule="atLeast"/>
        <w:jc w:val="left"/>
        <w:rPr>
          <w:rFonts w:hint="default" w:ascii="宋体" w:hAnsi="宋体" w:eastAsia="宋体" w:cs="宋体"/>
          <w:b/>
          <w:i w:val="0"/>
          <w:color w:val="000000"/>
          <w:kern w:val="0"/>
          <w:sz w:val="28"/>
          <w:szCs w:val="28"/>
          <w:highlight w:val="none"/>
          <w:u w:val="none"/>
          <w:lang w:val="en-US" w:eastAsia="zh-CN" w:bidi="ar-SA"/>
        </w:rPr>
      </w:pPr>
      <w:r>
        <w:rPr>
          <w:rFonts w:hint="eastAsia" w:ascii="仿宋_GB2312" w:hAnsi="宋体" w:eastAsia="仿宋_GB2312"/>
          <w:kern w:val="0"/>
          <w:sz w:val="24"/>
          <w:highlight w:val="none"/>
        </w:rPr>
        <w:t xml:space="preserve">附件：1-6                           </w:t>
      </w:r>
      <w:r>
        <w:rPr>
          <w:rFonts w:hint="eastAsia" w:ascii="宋体" w:hAnsi="宋体" w:eastAsia="宋体" w:cs="宋体"/>
          <w:b/>
          <w:i w:val="0"/>
          <w:color w:val="000000"/>
          <w:kern w:val="0"/>
          <w:sz w:val="28"/>
          <w:szCs w:val="28"/>
          <w:highlight w:val="none"/>
          <w:u w:val="none"/>
          <w:lang w:val="en-US" w:eastAsia="zh-CN" w:bidi="ar-SA"/>
        </w:rPr>
        <w:t>一般公共预算财政拨款基本支出决算表</w:t>
      </w:r>
    </w:p>
    <w:tbl>
      <w:tblPr>
        <w:tblStyle w:val="5"/>
        <w:tblW w:w="139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7"/>
        <w:gridCol w:w="2130"/>
        <w:gridCol w:w="705"/>
        <w:gridCol w:w="917"/>
        <w:gridCol w:w="440"/>
        <w:gridCol w:w="311"/>
        <w:gridCol w:w="1597"/>
        <w:gridCol w:w="618"/>
        <w:gridCol w:w="975"/>
        <w:gridCol w:w="1461"/>
        <w:gridCol w:w="2460"/>
        <w:gridCol w:w="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exact"/>
          <w:jc w:val="center"/>
        </w:trPr>
        <w:tc>
          <w:tcPr>
            <w:tcW w:w="3587" w:type="dxa"/>
            <w:gridSpan w:val="2"/>
            <w:vMerge w:val="restart"/>
            <w:tcBorders>
              <w:top w:val="nil"/>
              <w:left w:val="nil"/>
              <w:right w:val="nil"/>
            </w:tcBorders>
            <w:shd w:val="clear" w:color="auto" w:fill="FFFFFF"/>
            <w:vAlign w:val="center"/>
          </w:tcPr>
          <w:p>
            <w:pPr>
              <w:widowControl/>
              <w:shd w:val="clear" w:color="auto" w:fill="FFFFFF"/>
              <w:jc w:val="left"/>
              <w:rPr>
                <w:rFonts w:hint="default" w:ascii="宋体"/>
                <w:color w:val="000000"/>
                <w:kern w:val="0"/>
                <w:sz w:val="18"/>
                <w:highlight w:val="none"/>
                <w:shd w:val="clear" w:color="auto" w:fill="FFFFFF"/>
              </w:rPr>
            </w:pPr>
            <w:r>
              <w:rPr>
                <w:rFonts w:hint="eastAsia" w:ascii="宋体" w:hAnsi="宋体"/>
                <w:color w:val="000000"/>
                <w:kern w:val="0"/>
                <w:sz w:val="18"/>
                <w:highlight w:val="none"/>
                <w:shd w:val="clear" w:color="auto" w:fill="FFFFFF"/>
              </w:rPr>
              <w:t>部门：</w:t>
            </w:r>
            <w:r>
              <w:rPr>
                <w:rFonts w:hint="eastAsia" w:ascii="宋体" w:hAnsi="宋体"/>
                <w:color w:val="000000"/>
                <w:kern w:val="0"/>
                <w:highlight w:val="none"/>
                <w:shd w:val="clear" w:color="auto" w:fill="FFFFFF"/>
                <w:lang w:eastAsia="zh-CN"/>
              </w:rPr>
              <w:t>沈阳市体育局本级</w:t>
            </w:r>
          </w:p>
        </w:tc>
        <w:tc>
          <w:tcPr>
            <w:tcW w:w="1622" w:type="dxa"/>
            <w:gridSpan w:val="2"/>
            <w:tcBorders>
              <w:top w:val="nil"/>
              <w:left w:val="nil"/>
              <w:bottom w:val="nil"/>
              <w:right w:val="nil"/>
            </w:tcBorders>
            <w:shd w:val="clear" w:color="auto" w:fill="FFFFFF"/>
            <w:vAlign w:val="center"/>
          </w:tcPr>
          <w:p>
            <w:pPr>
              <w:widowControl/>
              <w:shd w:val="clear" w:color="auto" w:fill="FFFFFF"/>
              <w:jc w:val="left"/>
              <w:rPr>
                <w:rFonts w:hint="default" w:ascii="宋体"/>
                <w:color w:val="000000"/>
                <w:kern w:val="0"/>
                <w:sz w:val="18"/>
                <w:highlight w:val="none"/>
                <w:shd w:val="clear" w:color="auto" w:fill="FFFFFF"/>
              </w:rPr>
            </w:pPr>
          </w:p>
        </w:tc>
        <w:tc>
          <w:tcPr>
            <w:tcW w:w="440" w:type="dxa"/>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sz w:val="18"/>
                <w:highlight w:val="none"/>
                <w:shd w:val="clear" w:color="auto" w:fill="FFFFFF"/>
              </w:rPr>
            </w:pPr>
          </w:p>
        </w:tc>
        <w:tc>
          <w:tcPr>
            <w:tcW w:w="311" w:type="dxa"/>
            <w:tcBorders>
              <w:top w:val="nil"/>
              <w:left w:val="nil"/>
              <w:bottom w:val="nil"/>
              <w:right w:val="nil"/>
            </w:tcBorders>
            <w:shd w:val="clear" w:color="auto" w:fill="auto"/>
            <w:vAlign w:val="bottom"/>
          </w:tcPr>
          <w:p>
            <w:pPr>
              <w:widowControl/>
              <w:jc w:val="left"/>
              <w:rPr>
                <w:rFonts w:hint="default" w:ascii="宋体"/>
                <w:color w:val="000000"/>
                <w:kern w:val="0"/>
                <w:sz w:val="18"/>
                <w:highlight w:val="none"/>
              </w:rPr>
            </w:pPr>
          </w:p>
        </w:tc>
        <w:tc>
          <w:tcPr>
            <w:tcW w:w="1597" w:type="dxa"/>
            <w:tcBorders>
              <w:top w:val="nil"/>
              <w:left w:val="nil"/>
              <w:bottom w:val="nil"/>
              <w:right w:val="nil"/>
            </w:tcBorders>
            <w:shd w:val="clear" w:color="auto" w:fill="auto"/>
            <w:vAlign w:val="bottom"/>
          </w:tcPr>
          <w:p>
            <w:pPr>
              <w:widowControl/>
              <w:jc w:val="left"/>
              <w:rPr>
                <w:rFonts w:hint="default" w:ascii="宋体"/>
                <w:color w:val="000000"/>
                <w:kern w:val="0"/>
                <w:sz w:val="18"/>
                <w:highlight w:val="none"/>
              </w:rPr>
            </w:pPr>
          </w:p>
        </w:tc>
        <w:tc>
          <w:tcPr>
            <w:tcW w:w="6395" w:type="dxa"/>
            <w:gridSpan w:val="5"/>
            <w:tcBorders>
              <w:top w:val="nil"/>
              <w:left w:val="nil"/>
              <w:bottom w:val="nil"/>
              <w:right w:val="nil"/>
            </w:tcBorders>
            <w:shd w:val="clear" w:color="auto" w:fill="FFFFFF"/>
            <w:vAlign w:val="center"/>
          </w:tcPr>
          <w:p>
            <w:pPr>
              <w:widowControl/>
              <w:shd w:val="clear" w:color="auto" w:fill="FFFFFF"/>
              <w:jc w:val="right"/>
              <w:rPr>
                <w:rFonts w:hint="default"/>
                <w:color w:val="000000"/>
                <w:kern w:val="0"/>
                <w:sz w:val="18"/>
                <w:highlight w:val="none"/>
                <w:shd w:val="clear" w:color="auto" w:fill="FFFFFF"/>
              </w:rPr>
            </w:pPr>
            <w:r>
              <w:rPr>
                <w:rFonts w:hint="eastAsia" w:ascii="宋体" w:hAnsi="宋体"/>
                <w:color w:val="000000"/>
                <w:kern w:val="0"/>
                <w:highlight w:val="none"/>
                <w:shd w:val="clear" w:color="auto" w:fill="FFFFFF"/>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exact"/>
          <w:jc w:val="center"/>
        </w:trPr>
        <w:tc>
          <w:tcPr>
            <w:tcW w:w="3587" w:type="dxa"/>
            <w:gridSpan w:val="2"/>
            <w:vMerge w:val="continue"/>
            <w:tcBorders>
              <w:left w:val="nil"/>
              <w:bottom w:val="single" w:color="000000" w:sz="4" w:space="0"/>
              <w:right w:val="nil"/>
            </w:tcBorders>
            <w:shd w:val="clear" w:color="auto" w:fill="FFFFFF"/>
            <w:vAlign w:val="center"/>
          </w:tcPr>
          <w:p>
            <w:pPr>
              <w:widowControl/>
              <w:shd w:val="clear" w:color="auto" w:fill="FFFFFF"/>
              <w:jc w:val="left"/>
              <w:rPr>
                <w:rFonts w:hint="default" w:ascii="宋体"/>
                <w:color w:val="000000"/>
                <w:kern w:val="0"/>
                <w:sz w:val="18"/>
                <w:highlight w:val="none"/>
                <w:shd w:val="clear" w:color="auto" w:fill="FFFFFF"/>
              </w:rPr>
            </w:pPr>
          </w:p>
        </w:tc>
        <w:tc>
          <w:tcPr>
            <w:tcW w:w="1622" w:type="dxa"/>
            <w:gridSpan w:val="2"/>
            <w:tcBorders>
              <w:top w:val="nil"/>
              <w:left w:val="nil"/>
              <w:bottom w:val="single" w:color="000000" w:sz="4" w:space="0"/>
              <w:right w:val="nil"/>
            </w:tcBorders>
            <w:shd w:val="clear" w:color="auto" w:fill="FFFFFF"/>
            <w:vAlign w:val="center"/>
          </w:tcPr>
          <w:p>
            <w:pPr>
              <w:widowControl/>
              <w:shd w:val="clear" w:color="auto" w:fill="FFFFFF"/>
              <w:jc w:val="left"/>
              <w:rPr>
                <w:rFonts w:hint="default" w:ascii="宋体"/>
                <w:color w:val="000000"/>
                <w:kern w:val="0"/>
                <w:sz w:val="18"/>
                <w:highlight w:val="none"/>
                <w:shd w:val="clear" w:color="auto" w:fill="FFFFFF"/>
              </w:rPr>
            </w:pPr>
          </w:p>
        </w:tc>
        <w:tc>
          <w:tcPr>
            <w:tcW w:w="440" w:type="dxa"/>
            <w:tcBorders>
              <w:top w:val="nil"/>
              <w:left w:val="nil"/>
              <w:bottom w:val="single" w:color="000000" w:sz="4" w:space="0"/>
              <w:right w:val="nil"/>
            </w:tcBorders>
            <w:shd w:val="clear" w:color="auto" w:fill="FFFFFF"/>
            <w:vAlign w:val="center"/>
          </w:tcPr>
          <w:p>
            <w:pPr>
              <w:widowControl/>
              <w:shd w:val="clear" w:color="auto" w:fill="FFFFFF"/>
              <w:jc w:val="right"/>
              <w:rPr>
                <w:rFonts w:hint="default" w:ascii="宋体"/>
                <w:color w:val="000000"/>
                <w:kern w:val="0"/>
                <w:sz w:val="18"/>
                <w:highlight w:val="none"/>
                <w:shd w:val="clear" w:color="auto" w:fill="FFFFFF"/>
              </w:rPr>
            </w:pPr>
          </w:p>
        </w:tc>
        <w:tc>
          <w:tcPr>
            <w:tcW w:w="311" w:type="dxa"/>
            <w:tcBorders>
              <w:top w:val="nil"/>
              <w:left w:val="nil"/>
              <w:bottom w:val="single" w:color="000000" w:sz="4" w:space="0"/>
              <w:right w:val="nil"/>
            </w:tcBorders>
            <w:shd w:val="clear" w:color="auto" w:fill="auto"/>
            <w:vAlign w:val="bottom"/>
          </w:tcPr>
          <w:p>
            <w:pPr>
              <w:widowControl/>
              <w:jc w:val="left"/>
              <w:rPr>
                <w:rFonts w:hint="default" w:ascii="宋体"/>
                <w:color w:val="000000"/>
                <w:kern w:val="0"/>
                <w:sz w:val="18"/>
                <w:highlight w:val="none"/>
              </w:rPr>
            </w:pPr>
          </w:p>
        </w:tc>
        <w:tc>
          <w:tcPr>
            <w:tcW w:w="1597" w:type="dxa"/>
            <w:tcBorders>
              <w:top w:val="nil"/>
              <w:left w:val="nil"/>
              <w:bottom w:val="single" w:color="000000" w:sz="4" w:space="0"/>
              <w:right w:val="nil"/>
            </w:tcBorders>
            <w:shd w:val="clear" w:color="auto" w:fill="auto"/>
            <w:vAlign w:val="bottom"/>
          </w:tcPr>
          <w:p>
            <w:pPr>
              <w:widowControl/>
              <w:jc w:val="left"/>
              <w:rPr>
                <w:rFonts w:hint="default" w:ascii="宋体"/>
                <w:color w:val="000000"/>
                <w:kern w:val="0"/>
                <w:sz w:val="18"/>
                <w:highlight w:val="none"/>
              </w:rPr>
            </w:pPr>
          </w:p>
        </w:tc>
        <w:tc>
          <w:tcPr>
            <w:tcW w:w="6395" w:type="dxa"/>
            <w:gridSpan w:val="5"/>
            <w:tcBorders>
              <w:top w:val="nil"/>
              <w:left w:val="nil"/>
              <w:bottom w:val="single" w:color="000000" w:sz="4" w:space="0"/>
              <w:right w:val="nil"/>
            </w:tcBorders>
            <w:shd w:val="clear" w:color="auto" w:fill="FFFFFF"/>
            <w:vAlign w:val="center"/>
          </w:tcPr>
          <w:p>
            <w:pPr>
              <w:widowControl/>
              <w:shd w:val="clear" w:color="auto" w:fill="FFFFFF"/>
              <w:jc w:val="right"/>
              <w:rPr>
                <w:rFonts w:hint="default" w:ascii="宋体"/>
                <w:color w:val="000000"/>
                <w:kern w:val="0"/>
                <w:sz w:val="18"/>
                <w:highlight w:val="none"/>
                <w:shd w:val="clear" w:color="auto" w:fill="FFFFFF"/>
              </w:rPr>
            </w:pPr>
            <w:r>
              <w:rPr>
                <w:rFonts w:hint="eastAsia" w:ascii="宋体" w:hAnsi="宋体"/>
                <w:color w:val="000000"/>
                <w:kern w:val="0"/>
                <w:sz w:val="18"/>
                <w:highlight w:val="none"/>
                <w:shd w:val="clear" w:color="auto" w:fill="FFFFFF"/>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exact"/>
          <w:jc w:val="center"/>
        </w:trPr>
        <w:tc>
          <w:tcPr>
            <w:tcW w:w="14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rFonts w:hint="default" w:eastAsia="Times New Roman"/>
                <w:kern w:val="0"/>
                <w:sz w:val="13"/>
                <w:szCs w:val="13"/>
                <w:highlight w:val="none"/>
              </w:rPr>
            </w:pPr>
            <w:r>
              <w:rPr>
                <w:rFonts w:hint="eastAsia" w:ascii="宋体" w:hAnsi="宋体"/>
                <w:kern w:val="0"/>
                <w:sz w:val="13"/>
                <w:szCs w:val="13"/>
                <w:highlight w:val="none"/>
                <w:lang w:val="en-US" w:eastAsia="zh-CN"/>
              </w:rPr>
              <w:t>经济分类科目编码</w:t>
            </w:r>
          </w:p>
        </w:tc>
        <w:tc>
          <w:tcPr>
            <w:tcW w:w="2130" w:type="dxa"/>
            <w:tcBorders>
              <w:top w:val="single" w:color="000000" w:sz="4" w:space="0"/>
              <w:left w:val="nil"/>
              <w:bottom w:val="single" w:color="000000" w:sz="4" w:space="0"/>
              <w:right w:val="single" w:color="000000" w:sz="4" w:space="0"/>
            </w:tcBorders>
            <w:vAlign w:val="center"/>
          </w:tcPr>
          <w:p>
            <w:pPr>
              <w:widowControl/>
              <w:jc w:val="center"/>
              <w:rPr>
                <w:rFonts w:hint="default" w:eastAsia="Times New Roman"/>
                <w:kern w:val="0"/>
                <w:sz w:val="13"/>
                <w:szCs w:val="13"/>
                <w:highlight w:val="none"/>
              </w:rPr>
            </w:pPr>
            <w:r>
              <w:rPr>
                <w:rFonts w:hint="eastAsia" w:ascii="宋体" w:hAnsi="宋体"/>
                <w:kern w:val="0"/>
                <w:sz w:val="13"/>
                <w:szCs w:val="13"/>
                <w:highlight w:val="none"/>
              </w:rPr>
              <w:t>科目名称</w:t>
            </w: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eastAsia" w:eastAsia="宋体"/>
                <w:kern w:val="0"/>
                <w:sz w:val="13"/>
                <w:szCs w:val="13"/>
                <w:highlight w:val="none"/>
                <w:lang w:eastAsia="zh-CN"/>
              </w:rPr>
            </w:pPr>
            <w:r>
              <w:rPr>
                <w:rFonts w:hint="eastAsia" w:ascii="宋体" w:hAnsi="宋体"/>
                <w:kern w:val="0"/>
                <w:sz w:val="13"/>
                <w:szCs w:val="13"/>
                <w:highlight w:val="none"/>
                <w:lang w:eastAsia="zh-CN"/>
              </w:rPr>
              <w:t>决算数</w:t>
            </w:r>
          </w:p>
        </w:tc>
        <w:tc>
          <w:tcPr>
            <w:tcW w:w="1668" w:type="dxa"/>
            <w:gridSpan w:val="3"/>
            <w:tcBorders>
              <w:top w:val="single" w:color="000000" w:sz="4" w:space="0"/>
              <w:left w:val="nil"/>
              <w:bottom w:val="single" w:color="000000" w:sz="4" w:space="0"/>
              <w:right w:val="single" w:color="000000" w:sz="4" w:space="0"/>
            </w:tcBorders>
            <w:vAlign w:val="center"/>
          </w:tcPr>
          <w:p>
            <w:pPr>
              <w:widowControl/>
              <w:jc w:val="center"/>
              <w:rPr>
                <w:rFonts w:hint="default" w:eastAsia="Times New Roman"/>
                <w:kern w:val="0"/>
                <w:sz w:val="13"/>
                <w:szCs w:val="13"/>
                <w:highlight w:val="none"/>
              </w:rPr>
            </w:pPr>
            <w:r>
              <w:rPr>
                <w:rFonts w:hint="eastAsia" w:ascii="宋体" w:hAnsi="宋体"/>
                <w:kern w:val="0"/>
                <w:sz w:val="13"/>
                <w:szCs w:val="13"/>
                <w:highlight w:val="none"/>
                <w:lang w:val="en-US" w:eastAsia="zh-CN"/>
              </w:rPr>
              <w:t>经济分类</w:t>
            </w:r>
            <w:r>
              <w:rPr>
                <w:rFonts w:hint="eastAsia" w:ascii="宋体" w:hAnsi="宋体"/>
                <w:kern w:val="0"/>
                <w:sz w:val="13"/>
                <w:szCs w:val="13"/>
                <w:highlight w:val="none"/>
              </w:rPr>
              <w:t>科目编码</w:t>
            </w:r>
          </w:p>
        </w:tc>
        <w:tc>
          <w:tcPr>
            <w:tcW w:w="2215" w:type="dxa"/>
            <w:gridSpan w:val="2"/>
            <w:tcBorders>
              <w:top w:val="single" w:color="000000" w:sz="4" w:space="0"/>
              <w:left w:val="nil"/>
              <w:bottom w:val="single" w:color="000000" w:sz="4" w:space="0"/>
              <w:right w:val="single" w:color="000000" w:sz="4" w:space="0"/>
            </w:tcBorders>
            <w:vAlign w:val="center"/>
          </w:tcPr>
          <w:p>
            <w:pPr>
              <w:widowControl/>
              <w:jc w:val="center"/>
              <w:rPr>
                <w:rFonts w:hint="default" w:eastAsia="Times New Roman"/>
                <w:kern w:val="0"/>
                <w:sz w:val="13"/>
                <w:szCs w:val="13"/>
                <w:highlight w:val="none"/>
              </w:rPr>
            </w:pPr>
            <w:r>
              <w:rPr>
                <w:rFonts w:hint="eastAsia" w:ascii="宋体" w:hAnsi="宋体"/>
                <w:kern w:val="0"/>
                <w:sz w:val="13"/>
                <w:szCs w:val="13"/>
                <w:highlight w:val="none"/>
              </w:rPr>
              <w:t>科目名称</w:t>
            </w: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eastAsia="Times New Roman"/>
                <w:kern w:val="0"/>
                <w:sz w:val="13"/>
                <w:szCs w:val="13"/>
                <w:highlight w:val="none"/>
              </w:rPr>
            </w:pPr>
            <w:r>
              <w:rPr>
                <w:rFonts w:hint="eastAsia" w:ascii="宋体" w:hAnsi="宋体"/>
                <w:kern w:val="0"/>
                <w:sz w:val="13"/>
                <w:szCs w:val="13"/>
                <w:highlight w:val="none"/>
                <w:lang w:eastAsia="zh-CN"/>
              </w:rPr>
              <w:t>决算数</w:t>
            </w:r>
          </w:p>
        </w:tc>
        <w:tc>
          <w:tcPr>
            <w:tcW w:w="1461" w:type="dxa"/>
            <w:tcBorders>
              <w:top w:val="single" w:color="000000" w:sz="4" w:space="0"/>
              <w:left w:val="nil"/>
              <w:bottom w:val="single" w:color="000000" w:sz="4" w:space="0"/>
              <w:right w:val="single" w:color="000000" w:sz="4" w:space="0"/>
            </w:tcBorders>
            <w:vAlign w:val="center"/>
          </w:tcPr>
          <w:p>
            <w:pPr>
              <w:widowControl/>
              <w:jc w:val="center"/>
              <w:rPr>
                <w:rFonts w:hint="default" w:eastAsia="Times New Roman"/>
                <w:kern w:val="0"/>
                <w:sz w:val="13"/>
                <w:szCs w:val="13"/>
                <w:highlight w:val="none"/>
              </w:rPr>
            </w:pPr>
            <w:r>
              <w:rPr>
                <w:rFonts w:hint="eastAsia" w:ascii="宋体" w:hAnsi="宋体"/>
                <w:kern w:val="0"/>
                <w:sz w:val="13"/>
                <w:szCs w:val="13"/>
                <w:highlight w:val="none"/>
                <w:lang w:val="en-US" w:eastAsia="zh-CN"/>
              </w:rPr>
              <w:t>经济分类</w:t>
            </w:r>
            <w:r>
              <w:rPr>
                <w:rFonts w:hint="eastAsia" w:ascii="宋体" w:hAnsi="宋体"/>
                <w:kern w:val="0"/>
                <w:sz w:val="13"/>
                <w:szCs w:val="13"/>
                <w:highlight w:val="none"/>
              </w:rPr>
              <w:t>科目编码</w:t>
            </w:r>
          </w:p>
        </w:tc>
        <w:tc>
          <w:tcPr>
            <w:tcW w:w="2460" w:type="dxa"/>
            <w:tcBorders>
              <w:top w:val="single" w:color="000000" w:sz="4" w:space="0"/>
              <w:left w:val="nil"/>
              <w:bottom w:val="single" w:color="000000" w:sz="4" w:space="0"/>
              <w:right w:val="single" w:color="000000" w:sz="4" w:space="0"/>
            </w:tcBorders>
            <w:vAlign w:val="center"/>
          </w:tcPr>
          <w:p>
            <w:pPr>
              <w:widowControl/>
              <w:jc w:val="center"/>
              <w:rPr>
                <w:rFonts w:hint="default" w:eastAsia="Times New Roman"/>
                <w:kern w:val="0"/>
                <w:sz w:val="13"/>
                <w:szCs w:val="13"/>
                <w:highlight w:val="none"/>
              </w:rPr>
            </w:pPr>
            <w:r>
              <w:rPr>
                <w:rFonts w:hint="eastAsia" w:ascii="宋体" w:hAnsi="宋体"/>
                <w:kern w:val="0"/>
                <w:sz w:val="13"/>
                <w:szCs w:val="13"/>
                <w:highlight w:val="none"/>
              </w:rPr>
              <w:t>科目名称</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eastAsia="Times New Roman"/>
                <w:kern w:val="0"/>
                <w:sz w:val="13"/>
                <w:szCs w:val="13"/>
                <w:highlight w:val="none"/>
              </w:rPr>
            </w:pPr>
            <w:r>
              <w:rPr>
                <w:rFonts w:hint="eastAsia" w:ascii="宋体" w:hAnsi="宋体"/>
                <w:kern w:val="0"/>
                <w:sz w:val="13"/>
                <w:szCs w:val="13"/>
                <w:highlight w:val="none"/>
                <w:lang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exact"/>
          <w:jc w:val="center"/>
        </w:trPr>
        <w:tc>
          <w:tcPr>
            <w:tcW w:w="145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301</w:t>
            </w:r>
          </w:p>
        </w:tc>
        <w:tc>
          <w:tcPr>
            <w:tcW w:w="2130"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工资福利支出</w:t>
            </w: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1340.91</w:t>
            </w: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302</w:t>
            </w: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商品和服务支出</w:t>
            </w: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714.21</w:t>
            </w: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307</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债务利息及费用支出</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exact"/>
          <w:jc w:val="center"/>
        </w:trPr>
        <w:tc>
          <w:tcPr>
            <w:tcW w:w="145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30101</w:t>
            </w:r>
          </w:p>
        </w:tc>
        <w:tc>
          <w:tcPr>
            <w:tcW w:w="2130"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基本工资</w:t>
            </w: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401.65</w:t>
            </w: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30201</w:t>
            </w: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办公费</w:t>
            </w: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13.61</w:t>
            </w: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30701</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国内债务付息</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exact"/>
          <w:jc w:val="center"/>
        </w:trPr>
        <w:tc>
          <w:tcPr>
            <w:tcW w:w="1457" w:type="dxa"/>
            <w:tcBorders>
              <w:top w:val="nil"/>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30102</w:t>
            </w:r>
          </w:p>
        </w:tc>
        <w:tc>
          <w:tcPr>
            <w:tcW w:w="213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津贴补贴</w:t>
            </w: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330.77</w:t>
            </w: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30202</w:t>
            </w: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印刷费</w:t>
            </w: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1.46</w:t>
            </w: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30702</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国外债务付息</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exact"/>
          <w:jc w:val="center"/>
        </w:trPr>
        <w:tc>
          <w:tcPr>
            <w:tcW w:w="1457" w:type="dxa"/>
            <w:tcBorders>
              <w:top w:val="nil"/>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30103</w:t>
            </w:r>
          </w:p>
        </w:tc>
        <w:tc>
          <w:tcPr>
            <w:tcW w:w="213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奖金</w:t>
            </w: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28.49</w:t>
            </w: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30203</w:t>
            </w: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咨询费</w:t>
            </w: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6.91</w:t>
            </w: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310</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资本性支出</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51.98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exact"/>
          <w:jc w:val="center"/>
        </w:trPr>
        <w:tc>
          <w:tcPr>
            <w:tcW w:w="1457" w:type="dxa"/>
            <w:tcBorders>
              <w:top w:val="nil"/>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30106</w:t>
            </w:r>
          </w:p>
        </w:tc>
        <w:tc>
          <w:tcPr>
            <w:tcW w:w="213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伙食补助费</w:t>
            </w: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14.96</w:t>
            </w: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30204</w:t>
            </w: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手续费</w:t>
            </w: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0.15</w:t>
            </w: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31001</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房屋建筑物购建</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exact"/>
          <w:jc w:val="center"/>
        </w:trPr>
        <w:tc>
          <w:tcPr>
            <w:tcW w:w="1457" w:type="dxa"/>
            <w:tcBorders>
              <w:top w:val="nil"/>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30107</w:t>
            </w:r>
          </w:p>
        </w:tc>
        <w:tc>
          <w:tcPr>
            <w:tcW w:w="213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绩效工资</w:t>
            </w: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212.58</w:t>
            </w: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30205</w:t>
            </w: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水费</w:t>
            </w: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1.15</w:t>
            </w: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31002</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办公设备购置</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exact"/>
          <w:jc w:val="center"/>
        </w:trPr>
        <w:tc>
          <w:tcPr>
            <w:tcW w:w="1457" w:type="dxa"/>
            <w:tcBorders>
              <w:top w:val="nil"/>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30108</w:t>
            </w:r>
          </w:p>
        </w:tc>
        <w:tc>
          <w:tcPr>
            <w:tcW w:w="213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机关事业单位基本养老保险</w:t>
            </w:r>
            <w:r>
              <w:rPr>
                <w:rFonts w:hint="eastAsia" w:ascii="宋体" w:hAnsi="宋体"/>
                <w:color w:val="000000"/>
                <w:kern w:val="0"/>
                <w:sz w:val="13"/>
                <w:szCs w:val="13"/>
                <w:highlight w:val="none"/>
                <w:lang w:val="en-US" w:eastAsia="zh-CN"/>
              </w:rPr>
              <w:t>缴</w:t>
            </w:r>
            <w:r>
              <w:rPr>
                <w:rFonts w:hint="eastAsia" w:ascii="宋体" w:hAnsi="宋体"/>
                <w:color w:val="000000"/>
                <w:kern w:val="0"/>
                <w:sz w:val="13"/>
                <w:szCs w:val="13"/>
                <w:highlight w:val="none"/>
              </w:rPr>
              <w:t>费</w:t>
            </w: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113.77</w:t>
            </w: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30206</w:t>
            </w: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电费</w:t>
            </w: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13.56</w:t>
            </w: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31003</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专用设备购置</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38.28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exact"/>
          <w:jc w:val="center"/>
        </w:trPr>
        <w:tc>
          <w:tcPr>
            <w:tcW w:w="1457" w:type="dxa"/>
            <w:tcBorders>
              <w:top w:val="nil"/>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30109</w:t>
            </w:r>
          </w:p>
        </w:tc>
        <w:tc>
          <w:tcPr>
            <w:tcW w:w="213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职业年金缴费</w:t>
            </w: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125.91</w:t>
            </w: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30207</w:t>
            </w: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邮电费</w:t>
            </w: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45</w:t>
            </w: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31005</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基础设施建设</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exact"/>
          <w:jc w:val="center"/>
        </w:trPr>
        <w:tc>
          <w:tcPr>
            <w:tcW w:w="1457" w:type="dxa"/>
            <w:tcBorders>
              <w:top w:val="nil"/>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30110</w:t>
            </w:r>
          </w:p>
        </w:tc>
        <w:tc>
          <w:tcPr>
            <w:tcW w:w="213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职工基本医疗保险缴费</w:t>
            </w: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53.88</w:t>
            </w: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30208</w:t>
            </w: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取暖费</w:t>
            </w: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22.03</w:t>
            </w: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31006</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大型修缮</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exact"/>
          <w:jc w:val="center"/>
        </w:trPr>
        <w:tc>
          <w:tcPr>
            <w:tcW w:w="1457" w:type="dxa"/>
            <w:tcBorders>
              <w:top w:val="nil"/>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30111</w:t>
            </w:r>
          </w:p>
        </w:tc>
        <w:tc>
          <w:tcPr>
            <w:tcW w:w="213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公务员医疗补助缴费</w:t>
            </w: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30209</w:t>
            </w: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物业管理费</w:t>
            </w: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0.52</w:t>
            </w: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31007</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信息网络及软件购置更新</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exact"/>
          <w:jc w:val="center"/>
        </w:trPr>
        <w:tc>
          <w:tcPr>
            <w:tcW w:w="1457" w:type="dxa"/>
            <w:tcBorders>
              <w:top w:val="nil"/>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30112</w:t>
            </w:r>
          </w:p>
        </w:tc>
        <w:tc>
          <w:tcPr>
            <w:tcW w:w="213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其他社会保障缴费</w:t>
            </w: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0.05</w:t>
            </w: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30211</w:t>
            </w: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差旅费</w:t>
            </w: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13.84</w:t>
            </w: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31008</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物资储备</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exact"/>
          <w:jc w:val="center"/>
        </w:trPr>
        <w:tc>
          <w:tcPr>
            <w:tcW w:w="1457" w:type="dxa"/>
            <w:tcBorders>
              <w:top w:val="nil"/>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30113</w:t>
            </w:r>
          </w:p>
        </w:tc>
        <w:tc>
          <w:tcPr>
            <w:tcW w:w="213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住房公积金</w:t>
            </w: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184.76</w:t>
            </w: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30212</w:t>
            </w: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因公出国（境）费用</w:t>
            </w: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31009</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土地补偿</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exact"/>
          <w:jc w:val="center"/>
        </w:trPr>
        <w:tc>
          <w:tcPr>
            <w:tcW w:w="1457" w:type="dxa"/>
            <w:tcBorders>
              <w:top w:val="nil"/>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30114</w:t>
            </w:r>
          </w:p>
        </w:tc>
        <w:tc>
          <w:tcPr>
            <w:tcW w:w="213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医疗费</w:t>
            </w: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24.23</w:t>
            </w: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30213</w:t>
            </w: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维修（护）费</w:t>
            </w: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2.45</w:t>
            </w: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31010</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安置补助</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exact"/>
          <w:jc w:val="center"/>
        </w:trPr>
        <w:tc>
          <w:tcPr>
            <w:tcW w:w="1457" w:type="dxa"/>
            <w:tcBorders>
              <w:top w:val="nil"/>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30199</w:t>
            </w:r>
          </w:p>
        </w:tc>
        <w:tc>
          <w:tcPr>
            <w:tcW w:w="213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其他工资福利支出</w:t>
            </w: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30214</w:t>
            </w: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租赁费</w:t>
            </w: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3.54</w:t>
            </w: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31011</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地上附着物和青苗补偿</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exact"/>
          <w:jc w:val="center"/>
        </w:trPr>
        <w:tc>
          <w:tcPr>
            <w:tcW w:w="1457" w:type="dxa"/>
            <w:tcBorders>
              <w:top w:val="nil"/>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303</w:t>
            </w:r>
          </w:p>
        </w:tc>
        <w:tc>
          <w:tcPr>
            <w:tcW w:w="213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对个人和家庭的补助</w:t>
            </w: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424.19</w:t>
            </w: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30215</w:t>
            </w: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会议费</w:t>
            </w: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31012</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拆迁补偿</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exact"/>
          <w:jc w:val="center"/>
        </w:trPr>
        <w:tc>
          <w:tcPr>
            <w:tcW w:w="1457" w:type="dxa"/>
            <w:tcBorders>
              <w:top w:val="nil"/>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30301</w:t>
            </w:r>
          </w:p>
        </w:tc>
        <w:tc>
          <w:tcPr>
            <w:tcW w:w="213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离休费</w:t>
            </w: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42.93</w:t>
            </w: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30216</w:t>
            </w: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培训费</w:t>
            </w: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0.05</w:t>
            </w: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31013</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公务用车购置</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11.95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exact"/>
          <w:jc w:val="center"/>
        </w:trPr>
        <w:tc>
          <w:tcPr>
            <w:tcW w:w="1457" w:type="dxa"/>
            <w:tcBorders>
              <w:top w:val="nil"/>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30302</w:t>
            </w:r>
          </w:p>
        </w:tc>
        <w:tc>
          <w:tcPr>
            <w:tcW w:w="213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退休费</w:t>
            </w: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30217</w:t>
            </w: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公务接待费</w:t>
            </w: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0.24</w:t>
            </w: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31019</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其他交通工具购置</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exact"/>
          <w:jc w:val="center"/>
        </w:trPr>
        <w:tc>
          <w:tcPr>
            <w:tcW w:w="1457" w:type="dxa"/>
            <w:tcBorders>
              <w:top w:val="nil"/>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30303</w:t>
            </w:r>
          </w:p>
        </w:tc>
        <w:tc>
          <w:tcPr>
            <w:tcW w:w="213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退职（役）费</w:t>
            </w: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30218</w:t>
            </w: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专用材料费</w:t>
            </w: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31021</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文物和陈列品购置</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exact"/>
          <w:jc w:val="center"/>
        </w:trPr>
        <w:tc>
          <w:tcPr>
            <w:tcW w:w="1457" w:type="dxa"/>
            <w:tcBorders>
              <w:top w:val="nil"/>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30304</w:t>
            </w:r>
          </w:p>
        </w:tc>
        <w:tc>
          <w:tcPr>
            <w:tcW w:w="213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抚恤金</w:t>
            </w: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24.07</w:t>
            </w: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30224</w:t>
            </w: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被装购置费</w:t>
            </w: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31022</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无形资产购置</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exact"/>
          <w:jc w:val="center"/>
        </w:trPr>
        <w:tc>
          <w:tcPr>
            <w:tcW w:w="1457" w:type="dxa"/>
            <w:tcBorders>
              <w:top w:val="nil"/>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30305</w:t>
            </w:r>
          </w:p>
        </w:tc>
        <w:tc>
          <w:tcPr>
            <w:tcW w:w="213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生活补助</w:t>
            </w: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55</w:t>
            </w: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30225</w:t>
            </w: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专用燃料费</w:t>
            </w: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31099</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其他资本性支出</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exact"/>
          <w:jc w:val="center"/>
        </w:trPr>
        <w:tc>
          <w:tcPr>
            <w:tcW w:w="1457" w:type="dxa"/>
            <w:tcBorders>
              <w:top w:val="nil"/>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30306</w:t>
            </w:r>
          </w:p>
        </w:tc>
        <w:tc>
          <w:tcPr>
            <w:tcW w:w="213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救济费</w:t>
            </w: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30226</w:t>
            </w: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劳务费</w:t>
            </w: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10.02</w:t>
            </w: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312</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对企业补助</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exact"/>
          <w:jc w:val="center"/>
        </w:trPr>
        <w:tc>
          <w:tcPr>
            <w:tcW w:w="1457" w:type="dxa"/>
            <w:tcBorders>
              <w:top w:val="nil"/>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30307</w:t>
            </w:r>
          </w:p>
        </w:tc>
        <w:tc>
          <w:tcPr>
            <w:tcW w:w="213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医疗费补助</w:t>
            </w: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30227</w:t>
            </w: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委托业务费</w:t>
            </w: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500</w:t>
            </w: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31201</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资本金注入</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exact"/>
          <w:jc w:val="center"/>
        </w:trPr>
        <w:tc>
          <w:tcPr>
            <w:tcW w:w="1457" w:type="dxa"/>
            <w:tcBorders>
              <w:top w:val="nil"/>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30308</w:t>
            </w:r>
          </w:p>
        </w:tc>
        <w:tc>
          <w:tcPr>
            <w:tcW w:w="213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助学金</w:t>
            </w: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30228</w:t>
            </w: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工会经费</w:t>
            </w: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6.91</w:t>
            </w: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31203</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政府投资基金股权投资</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exact"/>
          <w:jc w:val="center"/>
        </w:trPr>
        <w:tc>
          <w:tcPr>
            <w:tcW w:w="1457" w:type="dxa"/>
            <w:tcBorders>
              <w:top w:val="nil"/>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30309</w:t>
            </w:r>
          </w:p>
        </w:tc>
        <w:tc>
          <w:tcPr>
            <w:tcW w:w="213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奖励金</w:t>
            </w: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eastAsia="宋体"/>
                <w:color w:val="000000"/>
                <w:kern w:val="0"/>
                <w:sz w:val="13"/>
                <w:szCs w:val="13"/>
                <w:highlight w:val="none"/>
                <w:lang w:val="en-US" w:eastAsia="zh-CN"/>
              </w:rPr>
            </w:pPr>
            <w:r>
              <w:rPr>
                <w:rFonts w:hint="eastAsia" w:ascii="宋体"/>
                <w:color w:val="000000"/>
                <w:kern w:val="0"/>
                <w:sz w:val="13"/>
                <w:szCs w:val="13"/>
                <w:highlight w:val="none"/>
                <w:lang w:val="en-US" w:eastAsia="zh-CN"/>
              </w:rPr>
              <w:t>2.13</w:t>
            </w: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30229</w:t>
            </w: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福利费</w:t>
            </w:r>
          </w:p>
        </w:tc>
        <w:tc>
          <w:tcPr>
            <w:tcW w:w="975" w:type="dxa"/>
            <w:tcBorders>
              <w:top w:val="single" w:color="000000" w:sz="4" w:space="0"/>
              <w:left w:val="nil"/>
              <w:bottom w:val="single" w:color="000000" w:sz="4" w:space="0"/>
              <w:right w:val="single" w:color="000000" w:sz="4" w:space="0"/>
            </w:tcBorders>
            <w:vAlign w:val="center"/>
          </w:tcPr>
          <w:p>
            <w:pPr>
              <w:widowControl/>
              <w:jc w:val="both"/>
              <w:rPr>
                <w:rFonts w:hint="default" w:ascii="宋体"/>
                <w:color w:val="000000"/>
                <w:kern w:val="0"/>
                <w:sz w:val="13"/>
                <w:szCs w:val="13"/>
                <w:highlight w:val="none"/>
              </w:rPr>
            </w:pP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31204</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费用补贴</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exact"/>
          <w:jc w:val="center"/>
        </w:trPr>
        <w:tc>
          <w:tcPr>
            <w:tcW w:w="1457" w:type="dxa"/>
            <w:tcBorders>
              <w:top w:val="nil"/>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30310</w:t>
            </w:r>
          </w:p>
        </w:tc>
        <w:tc>
          <w:tcPr>
            <w:tcW w:w="213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个人农业生产补贴</w:t>
            </w: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30231</w:t>
            </w: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公务用车运行维护费</w:t>
            </w: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2.51</w:t>
            </w: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31205</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利息补贴</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exact"/>
          <w:jc w:val="center"/>
        </w:trPr>
        <w:tc>
          <w:tcPr>
            <w:tcW w:w="1457" w:type="dxa"/>
            <w:tcBorders>
              <w:top w:val="nil"/>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303</w:t>
            </w:r>
            <w:r>
              <w:rPr>
                <w:rFonts w:hint="eastAsia" w:ascii="宋体" w:hAnsi="宋体"/>
                <w:color w:val="000000"/>
                <w:kern w:val="0"/>
                <w:sz w:val="13"/>
                <w:szCs w:val="13"/>
                <w:highlight w:val="none"/>
                <w:lang w:val="en-US" w:eastAsia="zh-CN"/>
              </w:rPr>
              <w:t>11</w:t>
            </w:r>
          </w:p>
        </w:tc>
        <w:tc>
          <w:tcPr>
            <w:tcW w:w="213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lang w:val="en-US" w:eastAsia="zh-CN"/>
              </w:rPr>
              <w:t>代缴社会保险费</w:t>
            </w: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30239</w:t>
            </w: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其他交通费用</w:t>
            </w: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68.48</w:t>
            </w: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31299</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其他对企业补助</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exact"/>
          <w:jc w:val="center"/>
        </w:trPr>
        <w:tc>
          <w:tcPr>
            <w:tcW w:w="1457" w:type="dxa"/>
            <w:tcBorders>
              <w:top w:val="nil"/>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30399</w:t>
            </w:r>
          </w:p>
        </w:tc>
        <w:tc>
          <w:tcPr>
            <w:tcW w:w="213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其他对个人和家庭的补助</w:t>
            </w: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300.06</w:t>
            </w: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30240</w:t>
            </w: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税金及附加费用</w:t>
            </w: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399</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其他支出</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exact"/>
          <w:jc w:val="center"/>
        </w:trPr>
        <w:tc>
          <w:tcPr>
            <w:tcW w:w="1457" w:type="dxa"/>
            <w:tcBorders>
              <w:top w:val="nil"/>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213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30299</w:t>
            </w: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其他商品和服务支出</w:t>
            </w: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default" w:ascii="宋体"/>
                <w:color w:val="000000"/>
                <w:kern w:val="0"/>
                <w:sz w:val="13"/>
                <w:szCs w:val="13"/>
                <w:highlight w:val="none"/>
              </w:rPr>
              <w:t>5.33</w:t>
            </w: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39906</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赠与</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exact"/>
          <w:jc w:val="center"/>
        </w:trPr>
        <w:tc>
          <w:tcPr>
            <w:tcW w:w="1457" w:type="dxa"/>
            <w:tcBorders>
              <w:top w:val="nil"/>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213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39907</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国家赔偿费用支出</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exact"/>
          <w:jc w:val="center"/>
        </w:trPr>
        <w:tc>
          <w:tcPr>
            <w:tcW w:w="1457" w:type="dxa"/>
            <w:tcBorders>
              <w:top w:val="nil"/>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213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39908</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对民间非营利组织和群众性自治组织补贴</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exact"/>
          <w:jc w:val="center"/>
        </w:trPr>
        <w:tc>
          <w:tcPr>
            <w:tcW w:w="1457" w:type="dxa"/>
            <w:tcBorders>
              <w:top w:val="nil"/>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213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70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1668" w:type="dxa"/>
            <w:gridSpan w:val="3"/>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2215" w:type="dxa"/>
            <w:gridSpan w:val="2"/>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975"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c>
          <w:tcPr>
            <w:tcW w:w="1461"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39999</w:t>
            </w:r>
          </w:p>
        </w:tc>
        <w:tc>
          <w:tcPr>
            <w:tcW w:w="2460" w:type="dxa"/>
            <w:tcBorders>
              <w:top w:val="nil"/>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r>
              <w:rPr>
                <w:rFonts w:hint="eastAsia" w:ascii="宋体" w:hAnsi="宋体"/>
                <w:color w:val="000000"/>
                <w:kern w:val="0"/>
                <w:sz w:val="13"/>
                <w:szCs w:val="13"/>
                <w:highlight w:val="none"/>
              </w:rPr>
              <w:t>其他支出</w:t>
            </w:r>
          </w:p>
        </w:tc>
        <w:tc>
          <w:tcPr>
            <w:tcW w:w="881"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3"/>
                <w:szCs w:val="13"/>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exact"/>
          <w:jc w:val="center"/>
        </w:trPr>
        <w:tc>
          <w:tcPr>
            <w:tcW w:w="3587" w:type="dxa"/>
            <w:gridSpan w:val="2"/>
            <w:tcBorders>
              <w:top w:val="nil"/>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15"/>
                <w:szCs w:val="15"/>
                <w:highlight w:val="none"/>
              </w:rPr>
            </w:pPr>
            <w:r>
              <w:rPr>
                <w:rFonts w:hint="eastAsia" w:ascii="宋体" w:hAnsi="宋体"/>
                <w:color w:val="000000"/>
                <w:kern w:val="0"/>
                <w:sz w:val="15"/>
                <w:szCs w:val="15"/>
                <w:highlight w:val="none"/>
              </w:rPr>
              <w:t>人员经费合计</w:t>
            </w:r>
          </w:p>
        </w:tc>
        <w:tc>
          <w:tcPr>
            <w:tcW w:w="705" w:type="dxa"/>
            <w:tcBorders>
              <w:top w:val="single" w:color="000000" w:sz="4" w:space="0"/>
              <w:left w:val="nil"/>
              <w:bottom w:val="single" w:color="000000" w:sz="4" w:space="0"/>
              <w:right w:val="single" w:color="000000" w:sz="4" w:space="0"/>
            </w:tcBorders>
            <w:vAlign w:val="center"/>
          </w:tcPr>
          <w:p>
            <w:pPr>
              <w:widowControl/>
              <w:jc w:val="right"/>
              <w:rPr>
                <w:rFonts w:hint="default" w:ascii="宋体" w:eastAsia="宋体"/>
                <w:color w:val="000000"/>
                <w:kern w:val="0"/>
                <w:sz w:val="15"/>
                <w:szCs w:val="15"/>
                <w:highlight w:val="none"/>
                <w:lang w:val="en-US" w:eastAsia="zh-CN"/>
              </w:rPr>
            </w:pPr>
            <w:r>
              <w:rPr>
                <w:rFonts w:hint="eastAsia" w:ascii="宋体"/>
                <w:color w:val="000000"/>
                <w:kern w:val="0"/>
                <w:sz w:val="15"/>
                <w:szCs w:val="15"/>
                <w:highlight w:val="none"/>
                <w:lang w:val="en-US" w:eastAsia="zh-CN"/>
              </w:rPr>
              <w:t>1710.1</w:t>
            </w:r>
          </w:p>
        </w:tc>
        <w:tc>
          <w:tcPr>
            <w:tcW w:w="8779" w:type="dxa"/>
            <w:gridSpan w:val="8"/>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15"/>
                <w:szCs w:val="15"/>
                <w:highlight w:val="none"/>
              </w:rPr>
            </w:pPr>
            <w:r>
              <w:rPr>
                <w:rFonts w:hint="eastAsia" w:ascii="宋体" w:hAnsi="宋体"/>
                <w:color w:val="000000"/>
                <w:kern w:val="0"/>
                <w:sz w:val="15"/>
                <w:szCs w:val="15"/>
                <w:highlight w:val="none"/>
              </w:rPr>
              <w:t>公用经费合计</w:t>
            </w:r>
          </w:p>
        </w:tc>
        <w:tc>
          <w:tcPr>
            <w:tcW w:w="881" w:type="dxa"/>
            <w:tcBorders>
              <w:top w:val="single" w:color="000000" w:sz="4" w:space="0"/>
              <w:left w:val="nil"/>
              <w:bottom w:val="single" w:color="000000" w:sz="4" w:space="0"/>
              <w:right w:val="single" w:color="000000" w:sz="4" w:space="0"/>
            </w:tcBorders>
            <w:vAlign w:val="center"/>
          </w:tcPr>
          <w:p>
            <w:pPr>
              <w:widowControl/>
              <w:jc w:val="right"/>
              <w:rPr>
                <w:rFonts w:hint="default" w:ascii="宋体" w:eastAsia="宋体"/>
                <w:color w:val="000000"/>
                <w:kern w:val="0"/>
                <w:sz w:val="15"/>
                <w:szCs w:val="15"/>
                <w:highlight w:val="none"/>
                <w:lang w:val="en-US" w:eastAsia="zh-CN"/>
              </w:rPr>
            </w:pPr>
            <w:r>
              <w:rPr>
                <w:rFonts w:hint="eastAsia" w:ascii="宋体"/>
                <w:color w:val="000000"/>
                <w:kern w:val="0"/>
                <w:sz w:val="15"/>
                <w:szCs w:val="15"/>
                <w:highlight w:val="none"/>
                <w:lang w:val="en-US" w:eastAsia="zh-CN"/>
              </w:rPr>
              <w:t>207.07</w:t>
            </w:r>
          </w:p>
        </w:tc>
      </w:tr>
    </w:tbl>
    <w:p>
      <w:pPr>
        <w:widowControl/>
        <w:spacing w:line="56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注：1.本表反映部门本年度一般公共预算财政拨款基本支出明细情况。2.本套报表金额单位转换时可能存在尾数误差。</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如本表为空，则我部门本年度无此类资金收支余。</w:t>
      </w:r>
    </w:p>
    <w:p>
      <w:pPr>
        <w:widowControl/>
        <w:spacing w:line="560" w:lineRule="atLeast"/>
        <w:rPr>
          <w:rFonts w:hint="eastAsia" w:ascii="仿宋_GB2312" w:hAnsi="宋体" w:eastAsia="仿宋_GB2312"/>
          <w:kern w:val="0"/>
          <w:sz w:val="24"/>
          <w:highlight w:val="none"/>
        </w:rPr>
      </w:pPr>
    </w:p>
    <w:p>
      <w:pPr>
        <w:widowControl/>
        <w:spacing w:line="560" w:lineRule="atLeast"/>
        <w:rPr>
          <w:rFonts w:hint="eastAsia" w:ascii="仿宋_GB2312" w:hAnsi="宋体" w:eastAsia="仿宋_GB2312"/>
          <w:kern w:val="0"/>
          <w:sz w:val="24"/>
          <w:highlight w:val="none"/>
        </w:rPr>
      </w:pPr>
    </w:p>
    <w:p>
      <w:pPr>
        <w:widowControl/>
        <w:spacing w:line="560" w:lineRule="atLeast"/>
        <w:rPr>
          <w:rFonts w:hint="eastAsia" w:ascii="仿宋_GB2312" w:hAnsi="宋体" w:eastAsia="仿宋_GB2312"/>
          <w:kern w:val="0"/>
          <w:sz w:val="24"/>
          <w:highlight w:val="none"/>
        </w:rPr>
      </w:pPr>
    </w:p>
    <w:p>
      <w:pPr>
        <w:widowControl/>
        <w:spacing w:line="560" w:lineRule="atLeast"/>
        <w:rPr>
          <w:rFonts w:hint="eastAsia" w:ascii="仿宋_GB2312" w:hAnsi="宋体" w:eastAsia="仿宋_GB2312"/>
          <w:kern w:val="0"/>
          <w:sz w:val="24"/>
          <w:highlight w:val="none"/>
        </w:rPr>
      </w:pPr>
    </w:p>
    <w:p>
      <w:pPr>
        <w:widowControl/>
        <w:spacing w:line="560" w:lineRule="atLeast"/>
        <w:rPr>
          <w:rFonts w:hint="eastAsia" w:ascii="仿宋_GB2312" w:hAnsi="宋体" w:eastAsia="仿宋_GB2312"/>
          <w:kern w:val="0"/>
          <w:sz w:val="24"/>
          <w:highlight w:val="none"/>
        </w:rPr>
      </w:pPr>
    </w:p>
    <w:p>
      <w:pPr>
        <w:widowControl/>
        <w:spacing w:line="560" w:lineRule="atLeast"/>
        <w:rPr>
          <w:rFonts w:hint="eastAsia" w:ascii="仿宋_GB2312" w:hAnsi="宋体" w:eastAsia="仿宋_GB2312"/>
          <w:kern w:val="0"/>
          <w:sz w:val="24"/>
          <w:highlight w:val="none"/>
        </w:rPr>
      </w:pPr>
    </w:p>
    <w:p>
      <w:pPr>
        <w:widowControl/>
        <w:spacing w:line="560" w:lineRule="atLeast"/>
        <w:rPr>
          <w:rFonts w:hint="eastAsia" w:ascii="仿宋_GB2312" w:hAnsi="宋体" w:eastAsia="仿宋_GB2312"/>
          <w:kern w:val="0"/>
          <w:sz w:val="24"/>
          <w:highlight w:val="none"/>
        </w:rPr>
      </w:pPr>
    </w:p>
    <w:p>
      <w:pPr>
        <w:widowControl/>
        <w:spacing w:line="560" w:lineRule="atLeast"/>
        <w:rPr>
          <w:rFonts w:hint="eastAsia" w:ascii="仿宋_GB2312" w:hAnsi="宋体" w:eastAsia="仿宋_GB2312"/>
          <w:kern w:val="0"/>
          <w:sz w:val="24"/>
          <w:highlight w:val="none"/>
        </w:rPr>
      </w:pPr>
    </w:p>
    <w:p>
      <w:pPr>
        <w:widowControl/>
        <w:spacing w:line="560" w:lineRule="atLeast"/>
        <w:rPr>
          <w:rFonts w:hint="eastAsia" w:ascii="仿宋_GB2312" w:hAnsi="宋体" w:eastAsia="仿宋_GB2312"/>
          <w:kern w:val="0"/>
          <w:sz w:val="24"/>
          <w:highlight w:val="none"/>
        </w:rPr>
      </w:pPr>
    </w:p>
    <w:p>
      <w:pPr>
        <w:widowControl/>
        <w:spacing w:line="560" w:lineRule="atLeast"/>
        <w:rPr>
          <w:rFonts w:hint="eastAsia" w:ascii="仿宋_GB2312" w:hAnsi="宋体" w:eastAsia="仿宋_GB2312"/>
          <w:kern w:val="0"/>
          <w:sz w:val="24"/>
          <w:highlight w:val="none"/>
        </w:rPr>
      </w:pPr>
    </w:p>
    <w:p>
      <w:pPr>
        <w:widowControl/>
        <w:spacing w:line="560" w:lineRule="atLeast"/>
        <w:rPr>
          <w:rFonts w:hint="eastAsia" w:ascii="仿宋_GB2312" w:hAnsi="宋体" w:eastAsia="仿宋_GB2312"/>
          <w:kern w:val="0"/>
          <w:sz w:val="24"/>
          <w:highlight w:val="none"/>
        </w:rPr>
      </w:pPr>
    </w:p>
    <w:p>
      <w:pPr>
        <w:widowControl/>
        <w:spacing w:line="560" w:lineRule="atLeast"/>
        <w:rPr>
          <w:rFonts w:hint="eastAsia" w:ascii="仿宋_GB2312" w:hAnsi="宋体" w:eastAsia="仿宋_GB2312"/>
          <w:kern w:val="0"/>
          <w:sz w:val="24"/>
          <w:highlight w:val="none"/>
        </w:rPr>
      </w:pPr>
    </w:p>
    <w:p>
      <w:pPr>
        <w:widowControl/>
        <w:spacing w:line="560" w:lineRule="atLeast"/>
        <w:rPr>
          <w:rFonts w:hint="eastAsia" w:ascii="仿宋_GB2312" w:hAnsi="宋体" w:eastAsia="仿宋_GB2312"/>
          <w:kern w:val="0"/>
          <w:sz w:val="24"/>
          <w:highlight w:val="none"/>
        </w:rPr>
      </w:pPr>
    </w:p>
    <w:p>
      <w:pPr>
        <w:widowControl/>
        <w:spacing w:line="560" w:lineRule="atLeast"/>
        <w:rPr>
          <w:rFonts w:hint="eastAsia" w:ascii="仿宋_GB2312" w:hAnsi="宋体" w:eastAsia="仿宋_GB2312"/>
          <w:kern w:val="0"/>
          <w:sz w:val="24"/>
          <w:highlight w:val="none"/>
        </w:rPr>
      </w:pPr>
      <w:r>
        <w:rPr>
          <w:rFonts w:hint="eastAsia" w:ascii="仿宋_GB2312" w:hAnsi="宋体" w:eastAsia="仿宋_GB2312"/>
          <w:kern w:val="0"/>
          <w:sz w:val="24"/>
          <w:highlight w:val="none"/>
        </w:rPr>
        <w:t>附件1-</w:t>
      </w:r>
      <w:r>
        <w:rPr>
          <w:rFonts w:hint="eastAsia" w:ascii="仿宋_GB2312" w:hAnsi="宋体" w:eastAsia="仿宋_GB2312"/>
          <w:kern w:val="0"/>
          <w:sz w:val="24"/>
          <w:highlight w:val="none"/>
          <w:lang w:val="en-US" w:eastAsia="zh-CN"/>
        </w:rPr>
        <w:t>7</w:t>
      </w:r>
    </w:p>
    <w:tbl>
      <w:tblPr>
        <w:tblStyle w:val="5"/>
        <w:tblW w:w="137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3"/>
        <w:gridCol w:w="1297"/>
        <w:gridCol w:w="1097"/>
        <w:gridCol w:w="1770"/>
        <w:gridCol w:w="1862"/>
        <w:gridCol w:w="1285"/>
        <w:gridCol w:w="1285"/>
        <w:gridCol w:w="1285"/>
        <w:gridCol w:w="1286"/>
        <w:gridCol w:w="12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3726" w:type="dxa"/>
            <w:gridSpan w:val="10"/>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default" w:ascii="宋体"/>
                <w:b/>
                <w:color w:val="000000"/>
                <w:kern w:val="0"/>
                <w:highlight w:val="none"/>
                <w:shd w:val="clear" w:color="auto" w:fill="FFFFFF"/>
              </w:rPr>
            </w:pPr>
            <w:r>
              <w:rPr>
                <w:rFonts w:hint="eastAsia" w:ascii="宋体" w:hAnsi="宋体" w:eastAsia="宋体" w:cs="宋体"/>
                <w:b/>
                <w:i w:val="0"/>
                <w:color w:val="000000"/>
                <w:kern w:val="0"/>
                <w:sz w:val="28"/>
                <w:szCs w:val="28"/>
                <w:highlight w:val="none"/>
                <w:u w:val="none"/>
                <w:lang w:val="en-US" w:eastAsia="zh-CN" w:bidi="ar-SA"/>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570" w:type="dxa"/>
            <w:gridSpan w:val="2"/>
            <w:tcBorders>
              <w:top w:val="nil"/>
              <w:left w:val="nil"/>
              <w:bottom w:val="nil"/>
              <w:right w:val="nil"/>
            </w:tcBorders>
            <w:shd w:val="clear" w:color="auto" w:fill="FFFFFF"/>
            <w:vAlign w:val="bottom"/>
          </w:tcPr>
          <w:p>
            <w:pPr>
              <w:jc w:val="left"/>
              <w:rPr>
                <w:rFonts w:hint="default" w:ascii="宋体"/>
                <w:color w:val="000000"/>
                <w:kern w:val="0"/>
                <w:highlight w:val="none"/>
                <w:shd w:val="clear" w:color="auto" w:fill="FFFFFF"/>
              </w:rPr>
            </w:pPr>
          </w:p>
        </w:tc>
        <w:tc>
          <w:tcPr>
            <w:tcW w:w="1097" w:type="dxa"/>
            <w:tcBorders>
              <w:top w:val="nil"/>
              <w:left w:val="nil"/>
              <w:bottom w:val="nil"/>
              <w:right w:val="nil"/>
            </w:tcBorders>
            <w:shd w:val="clear" w:color="auto" w:fill="FFFFFF"/>
            <w:vAlign w:val="bottom"/>
          </w:tcPr>
          <w:p>
            <w:pPr>
              <w:jc w:val="left"/>
              <w:rPr>
                <w:rFonts w:hint="default" w:ascii="宋体"/>
                <w:color w:val="000000"/>
                <w:kern w:val="0"/>
                <w:highlight w:val="none"/>
                <w:shd w:val="clear" w:color="auto" w:fill="FFFFFF"/>
              </w:rPr>
            </w:pPr>
          </w:p>
        </w:tc>
        <w:tc>
          <w:tcPr>
            <w:tcW w:w="1770" w:type="dxa"/>
            <w:tcBorders>
              <w:top w:val="nil"/>
              <w:left w:val="nil"/>
              <w:bottom w:val="nil"/>
              <w:right w:val="nil"/>
            </w:tcBorders>
            <w:shd w:val="clear" w:color="auto" w:fill="FFFFFF"/>
            <w:vAlign w:val="bottom"/>
          </w:tcPr>
          <w:p>
            <w:pPr>
              <w:jc w:val="left"/>
              <w:rPr>
                <w:rFonts w:hint="default" w:ascii="宋体"/>
                <w:color w:val="000000"/>
                <w:kern w:val="0"/>
                <w:highlight w:val="none"/>
                <w:shd w:val="clear" w:color="auto" w:fill="FFFFFF"/>
              </w:rPr>
            </w:pPr>
          </w:p>
        </w:tc>
        <w:tc>
          <w:tcPr>
            <w:tcW w:w="1862" w:type="dxa"/>
            <w:tcBorders>
              <w:top w:val="nil"/>
              <w:left w:val="nil"/>
              <w:bottom w:val="nil"/>
              <w:right w:val="nil"/>
            </w:tcBorders>
            <w:shd w:val="clear" w:color="auto" w:fill="FFFFFF"/>
            <w:vAlign w:val="bottom"/>
          </w:tcPr>
          <w:p>
            <w:pPr>
              <w:jc w:val="left"/>
              <w:rPr>
                <w:rFonts w:hint="default" w:ascii="宋体"/>
                <w:color w:val="000000"/>
                <w:kern w:val="0"/>
                <w:highlight w:val="none"/>
                <w:shd w:val="clear" w:color="auto" w:fill="FFFFFF"/>
              </w:rPr>
            </w:pPr>
          </w:p>
        </w:tc>
        <w:tc>
          <w:tcPr>
            <w:tcW w:w="1285" w:type="dxa"/>
            <w:tcBorders>
              <w:top w:val="nil"/>
              <w:left w:val="nil"/>
              <w:bottom w:val="nil"/>
              <w:right w:val="nil"/>
            </w:tcBorders>
            <w:shd w:val="clear" w:color="auto" w:fill="FFFFFF"/>
            <w:vAlign w:val="bottom"/>
          </w:tcPr>
          <w:p>
            <w:pPr>
              <w:jc w:val="left"/>
              <w:rPr>
                <w:rFonts w:hint="default" w:ascii="宋体"/>
                <w:color w:val="000000"/>
                <w:kern w:val="0"/>
                <w:highlight w:val="none"/>
                <w:shd w:val="clear" w:color="auto" w:fill="FFFFFF"/>
              </w:rPr>
            </w:pPr>
          </w:p>
        </w:tc>
        <w:tc>
          <w:tcPr>
            <w:tcW w:w="1285" w:type="dxa"/>
            <w:tcBorders>
              <w:top w:val="nil"/>
              <w:left w:val="nil"/>
              <w:bottom w:val="nil"/>
              <w:right w:val="nil"/>
            </w:tcBorders>
            <w:shd w:val="clear" w:color="auto" w:fill="FFFFFF"/>
            <w:vAlign w:val="bottom"/>
          </w:tcPr>
          <w:p>
            <w:pPr>
              <w:jc w:val="left"/>
              <w:rPr>
                <w:rFonts w:hint="default" w:ascii="宋体"/>
                <w:color w:val="000000"/>
                <w:kern w:val="0"/>
                <w:highlight w:val="none"/>
                <w:shd w:val="clear" w:color="auto" w:fill="FFFFFF"/>
              </w:rPr>
            </w:pPr>
          </w:p>
        </w:tc>
        <w:tc>
          <w:tcPr>
            <w:tcW w:w="3857" w:type="dxa"/>
            <w:gridSpan w:val="3"/>
            <w:tcBorders>
              <w:top w:val="nil"/>
              <w:left w:val="nil"/>
              <w:bottom w:val="nil"/>
              <w:right w:val="nil"/>
            </w:tcBorders>
            <w:shd w:val="clear" w:color="auto" w:fill="FFFFFF"/>
            <w:vAlign w:val="bottom"/>
          </w:tcPr>
          <w:p>
            <w:pPr>
              <w:keepNext w:val="0"/>
              <w:keepLines w:val="0"/>
              <w:widowControl/>
              <w:suppressLineNumbers w:val="0"/>
              <w:jc w:val="right"/>
              <w:textAlignment w:val="bottom"/>
              <w:rPr>
                <w:rFonts w:hint="default" w:ascii="宋体"/>
                <w:color w:val="000000"/>
                <w:kern w:val="0"/>
                <w:highlight w:val="none"/>
                <w:shd w:val="clear" w:color="auto" w:fill="FFFFFF"/>
              </w:rPr>
            </w:pPr>
            <w:r>
              <w:rPr>
                <w:rFonts w:hint="eastAsia" w:ascii="宋体" w:hAnsi="宋体" w:eastAsia="宋体" w:cs="宋体"/>
                <w:i w:val="0"/>
                <w:color w:val="000000"/>
                <w:kern w:val="0"/>
                <w:sz w:val="21"/>
                <w:szCs w:val="21"/>
                <w:highlight w:val="none"/>
                <w:u w:val="none"/>
                <w:lang w:val="en-US" w:eastAsia="zh-CN" w:bidi="ar-SA"/>
              </w:rPr>
              <w:t>公开0</w:t>
            </w:r>
            <w:r>
              <w:rPr>
                <w:rFonts w:hint="eastAsia" w:ascii="宋体" w:hAnsi="宋体" w:cs="宋体"/>
                <w:i w:val="0"/>
                <w:color w:val="000000"/>
                <w:kern w:val="0"/>
                <w:sz w:val="21"/>
                <w:szCs w:val="21"/>
                <w:highlight w:val="none"/>
                <w:u w:val="none"/>
                <w:lang w:val="en-US" w:eastAsia="zh-CN" w:bidi="ar-SA"/>
              </w:rPr>
              <w:t>7</w:t>
            </w:r>
            <w:r>
              <w:rPr>
                <w:rFonts w:hint="eastAsia" w:ascii="宋体" w:hAnsi="宋体" w:eastAsia="宋体" w:cs="宋体"/>
                <w:i w:val="0"/>
                <w:color w:val="000000"/>
                <w:kern w:val="0"/>
                <w:sz w:val="21"/>
                <w:szCs w:val="21"/>
                <w:highlight w:val="none"/>
                <w:u w:val="none"/>
                <w:lang w:val="en-US" w:eastAsia="zh-CN" w:bidi="ar-SA"/>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570" w:type="dxa"/>
            <w:gridSpan w:val="2"/>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default" w:ascii="宋体"/>
                <w:color w:val="000000"/>
                <w:kern w:val="0"/>
                <w:highlight w:val="none"/>
                <w:shd w:val="clear" w:color="auto" w:fill="FFFFFF"/>
              </w:rPr>
            </w:pPr>
            <w:r>
              <w:rPr>
                <w:rFonts w:hint="eastAsia" w:ascii="宋体" w:hAnsi="宋体" w:eastAsia="宋体" w:cs="宋体"/>
                <w:i w:val="0"/>
                <w:color w:val="000000"/>
                <w:kern w:val="0"/>
                <w:sz w:val="21"/>
                <w:szCs w:val="21"/>
                <w:highlight w:val="none"/>
                <w:u w:val="none"/>
                <w:lang w:val="en-US" w:eastAsia="zh-CN" w:bidi="ar-SA"/>
              </w:rPr>
              <w:t>部门：</w:t>
            </w:r>
            <w:r>
              <w:rPr>
                <w:rFonts w:hint="eastAsia" w:ascii="宋体" w:hAnsi="宋体"/>
                <w:color w:val="000000"/>
                <w:kern w:val="0"/>
                <w:highlight w:val="none"/>
                <w:shd w:val="clear" w:color="auto" w:fill="FFFFFF"/>
                <w:lang w:eastAsia="zh-CN"/>
              </w:rPr>
              <w:t>沈阳市体育局本级</w:t>
            </w:r>
          </w:p>
        </w:tc>
        <w:tc>
          <w:tcPr>
            <w:tcW w:w="1097" w:type="dxa"/>
            <w:tcBorders>
              <w:top w:val="nil"/>
              <w:left w:val="nil"/>
              <w:bottom w:val="nil"/>
              <w:right w:val="nil"/>
            </w:tcBorders>
            <w:shd w:val="clear" w:color="auto" w:fill="FFFFFF"/>
            <w:vAlign w:val="bottom"/>
          </w:tcPr>
          <w:p>
            <w:pPr>
              <w:jc w:val="left"/>
              <w:rPr>
                <w:rFonts w:hint="default" w:ascii="宋体"/>
                <w:color w:val="000000"/>
                <w:kern w:val="0"/>
                <w:highlight w:val="none"/>
                <w:shd w:val="clear" w:color="auto" w:fill="FFFFFF"/>
              </w:rPr>
            </w:pPr>
          </w:p>
        </w:tc>
        <w:tc>
          <w:tcPr>
            <w:tcW w:w="1770" w:type="dxa"/>
            <w:tcBorders>
              <w:top w:val="nil"/>
              <w:left w:val="nil"/>
              <w:bottom w:val="nil"/>
              <w:right w:val="nil"/>
            </w:tcBorders>
            <w:shd w:val="clear" w:color="auto" w:fill="FFFFFF"/>
            <w:vAlign w:val="bottom"/>
          </w:tcPr>
          <w:p>
            <w:pPr>
              <w:jc w:val="left"/>
              <w:rPr>
                <w:rFonts w:hint="default" w:ascii="宋体"/>
                <w:color w:val="000000"/>
                <w:kern w:val="0"/>
                <w:highlight w:val="none"/>
                <w:shd w:val="clear" w:color="auto" w:fill="FFFFFF"/>
              </w:rPr>
            </w:pPr>
          </w:p>
        </w:tc>
        <w:tc>
          <w:tcPr>
            <w:tcW w:w="1862" w:type="dxa"/>
            <w:tcBorders>
              <w:top w:val="nil"/>
              <w:left w:val="nil"/>
              <w:bottom w:val="nil"/>
              <w:right w:val="nil"/>
            </w:tcBorders>
            <w:shd w:val="clear" w:color="auto" w:fill="FFFFFF"/>
            <w:vAlign w:val="bottom"/>
          </w:tcPr>
          <w:p>
            <w:pPr>
              <w:jc w:val="left"/>
              <w:rPr>
                <w:rFonts w:hint="default" w:ascii="宋体"/>
                <w:color w:val="000000"/>
                <w:kern w:val="0"/>
                <w:highlight w:val="none"/>
                <w:shd w:val="clear" w:color="auto" w:fill="FFFFFF"/>
              </w:rPr>
            </w:pPr>
          </w:p>
        </w:tc>
        <w:tc>
          <w:tcPr>
            <w:tcW w:w="1285" w:type="dxa"/>
            <w:tcBorders>
              <w:top w:val="nil"/>
              <w:left w:val="nil"/>
              <w:bottom w:val="nil"/>
              <w:right w:val="nil"/>
            </w:tcBorders>
            <w:shd w:val="clear" w:color="auto" w:fill="FFFFFF"/>
            <w:vAlign w:val="bottom"/>
          </w:tcPr>
          <w:p>
            <w:pPr>
              <w:jc w:val="left"/>
              <w:rPr>
                <w:rFonts w:hint="default" w:ascii="宋体"/>
                <w:color w:val="000000"/>
                <w:kern w:val="0"/>
                <w:highlight w:val="none"/>
                <w:shd w:val="clear" w:color="auto" w:fill="FFFFFF"/>
              </w:rPr>
            </w:pPr>
          </w:p>
        </w:tc>
        <w:tc>
          <w:tcPr>
            <w:tcW w:w="1285" w:type="dxa"/>
            <w:tcBorders>
              <w:top w:val="nil"/>
              <w:left w:val="nil"/>
              <w:bottom w:val="nil"/>
              <w:right w:val="nil"/>
            </w:tcBorders>
            <w:shd w:val="clear" w:color="auto" w:fill="FFFFFF"/>
            <w:vAlign w:val="bottom"/>
          </w:tcPr>
          <w:p>
            <w:pPr>
              <w:jc w:val="left"/>
              <w:rPr>
                <w:rFonts w:hint="default" w:ascii="宋体"/>
                <w:color w:val="000000"/>
                <w:kern w:val="0"/>
                <w:highlight w:val="none"/>
                <w:shd w:val="clear" w:color="auto" w:fill="FFFFFF"/>
              </w:rPr>
            </w:pPr>
          </w:p>
        </w:tc>
        <w:tc>
          <w:tcPr>
            <w:tcW w:w="3857" w:type="dxa"/>
            <w:gridSpan w:val="3"/>
            <w:tcBorders>
              <w:top w:val="nil"/>
              <w:left w:val="nil"/>
              <w:bottom w:val="nil"/>
              <w:right w:val="nil"/>
            </w:tcBorders>
            <w:shd w:val="clear" w:color="auto" w:fill="FFFFFF"/>
            <w:vAlign w:val="bottom"/>
          </w:tcPr>
          <w:p>
            <w:pPr>
              <w:keepNext w:val="0"/>
              <w:keepLines w:val="0"/>
              <w:widowControl/>
              <w:suppressLineNumbers w:val="0"/>
              <w:jc w:val="right"/>
              <w:textAlignment w:val="bottom"/>
              <w:rPr>
                <w:rFonts w:hint="default" w:ascii="宋体"/>
                <w:color w:val="000000"/>
                <w:kern w:val="0"/>
                <w:highlight w:val="none"/>
                <w:shd w:val="clear" w:color="auto" w:fill="FFFFFF"/>
              </w:rPr>
            </w:pPr>
            <w:r>
              <w:rPr>
                <w:rFonts w:hint="eastAsia" w:ascii="宋体" w:hAnsi="宋体" w:eastAsia="宋体" w:cs="宋体"/>
                <w:i w:val="0"/>
                <w:color w:val="000000"/>
                <w:kern w:val="0"/>
                <w:sz w:val="21"/>
                <w:szCs w:val="21"/>
                <w:highlight w:val="none"/>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3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cs="宋体"/>
                <w:i w:val="0"/>
                <w:color w:val="000000"/>
                <w:kern w:val="0"/>
                <w:sz w:val="21"/>
                <w:szCs w:val="21"/>
                <w:highlight w:val="none"/>
                <w:u w:val="none"/>
                <w:lang w:val="en-US" w:eastAsia="zh-CN" w:bidi="ar-SA"/>
              </w:rPr>
              <w:t>项目</w:t>
            </w:r>
          </w:p>
        </w:tc>
        <w:tc>
          <w:tcPr>
            <w:tcW w:w="1862"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eastAsia="宋体" w:cs="宋体"/>
                <w:i w:val="0"/>
                <w:color w:val="000000"/>
                <w:kern w:val="0"/>
                <w:sz w:val="21"/>
                <w:szCs w:val="21"/>
                <w:highlight w:val="none"/>
                <w:u w:val="none"/>
                <w:lang w:val="en-US" w:eastAsia="zh-CN" w:bidi="ar-SA"/>
              </w:rPr>
              <w:t>年初结转和结余</w:t>
            </w:r>
          </w:p>
        </w:tc>
        <w:tc>
          <w:tcPr>
            <w:tcW w:w="1285"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eastAsia="宋体" w:cs="宋体"/>
                <w:i w:val="0"/>
                <w:color w:val="000000"/>
                <w:kern w:val="0"/>
                <w:sz w:val="21"/>
                <w:szCs w:val="21"/>
                <w:highlight w:val="none"/>
                <w:u w:val="none"/>
                <w:lang w:val="en-US" w:eastAsia="zh-CN" w:bidi="ar-SA"/>
              </w:rPr>
              <w:t>本年收入</w:t>
            </w:r>
          </w:p>
        </w:tc>
        <w:tc>
          <w:tcPr>
            <w:tcW w:w="3856"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highlight w:val="none"/>
              </w:rPr>
            </w:pPr>
            <w:r>
              <w:rPr>
                <w:rFonts w:hint="eastAsia" w:ascii="宋体" w:hAnsi="宋体" w:eastAsia="宋体" w:cs="宋体"/>
                <w:i w:val="0"/>
                <w:color w:val="000000"/>
                <w:kern w:val="0"/>
                <w:sz w:val="21"/>
                <w:szCs w:val="21"/>
                <w:highlight w:val="none"/>
                <w:u w:val="none"/>
                <w:lang w:val="en-US" w:eastAsia="zh-CN" w:bidi="ar-SA"/>
              </w:rPr>
              <w:t>本年支出</w:t>
            </w:r>
          </w:p>
        </w:tc>
        <w:tc>
          <w:tcPr>
            <w:tcW w:w="1286"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eastAsia="宋体" w:cs="宋体"/>
                <w:i w:val="0"/>
                <w:color w:val="000000"/>
                <w:kern w:val="0"/>
                <w:sz w:val="21"/>
                <w:szCs w:val="21"/>
                <w:highlight w:val="none"/>
                <w:u w:val="none"/>
                <w:lang w:val="en-US" w:eastAsia="zh-CN" w:bidi="ar-SA"/>
              </w:rPr>
              <w:t xml:space="preserve"> 年末结转和结余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27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olor w:val="000000"/>
                <w:kern w:val="0"/>
                <w:highlight w:val="none"/>
                <w:lang w:val="en-US" w:eastAsia="zh-CN"/>
              </w:rPr>
            </w:pPr>
            <w:r>
              <w:rPr>
                <w:rFonts w:hint="eastAsia" w:ascii="宋体"/>
                <w:color w:val="000000"/>
                <w:kern w:val="0"/>
                <w:highlight w:val="none"/>
                <w:lang w:val="en-US" w:eastAsia="zh-CN"/>
              </w:rPr>
              <w:t>功能分类科目编码</w:t>
            </w:r>
          </w:p>
        </w:tc>
        <w:tc>
          <w:tcPr>
            <w:tcW w:w="4164" w:type="dxa"/>
            <w:gridSpan w:val="3"/>
            <w:tcBorders>
              <w:top w:val="single" w:color="000000" w:sz="4" w:space="0"/>
              <w:left w:val="nil"/>
              <w:bottom w:val="single" w:color="000000" w:sz="4" w:space="0"/>
              <w:right w:val="single" w:color="000000" w:sz="4" w:space="0"/>
            </w:tcBorders>
            <w:vAlign w:val="center"/>
          </w:tcPr>
          <w:p>
            <w:pPr>
              <w:jc w:val="center"/>
              <w:rPr>
                <w:rFonts w:hint="eastAsia" w:ascii="宋体" w:eastAsia="宋体"/>
                <w:color w:val="000000"/>
                <w:kern w:val="0"/>
                <w:highlight w:val="none"/>
                <w:lang w:val="en-US" w:eastAsia="zh-CN"/>
              </w:rPr>
            </w:pPr>
            <w:r>
              <w:rPr>
                <w:rFonts w:hint="eastAsia" w:ascii="宋体"/>
                <w:color w:val="000000"/>
                <w:kern w:val="0"/>
                <w:highlight w:val="none"/>
                <w:lang w:val="en-US" w:eastAsia="zh-CN"/>
              </w:rPr>
              <w:t>科目名称</w:t>
            </w:r>
          </w:p>
        </w:tc>
        <w:tc>
          <w:tcPr>
            <w:tcW w:w="1862" w:type="dxa"/>
            <w:vMerge w:val="continue"/>
            <w:tcBorders>
              <w:top w:val="single" w:color="000000" w:sz="4" w:space="0"/>
              <w:left w:val="nil"/>
              <w:bottom w:val="single" w:color="000000" w:sz="4" w:space="0"/>
              <w:right w:val="single" w:color="000000" w:sz="4" w:space="0"/>
            </w:tcBorders>
            <w:vAlign w:val="center"/>
          </w:tcPr>
          <w:p>
            <w:pPr>
              <w:jc w:val="center"/>
              <w:rPr>
                <w:rFonts w:hint="default" w:ascii="宋体"/>
                <w:color w:val="000000"/>
                <w:kern w:val="0"/>
                <w:highlight w:val="none"/>
              </w:rPr>
            </w:pPr>
          </w:p>
        </w:tc>
        <w:tc>
          <w:tcPr>
            <w:tcW w:w="1285" w:type="dxa"/>
            <w:vMerge w:val="continue"/>
            <w:tcBorders>
              <w:top w:val="single" w:color="000000" w:sz="4" w:space="0"/>
              <w:left w:val="nil"/>
              <w:bottom w:val="single" w:color="000000" w:sz="4" w:space="0"/>
              <w:right w:val="single" w:color="000000" w:sz="4" w:space="0"/>
            </w:tcBorders>
            <w:vAlign w:val="center"/>
          </w:tcPr>
          <w:p>
            <w:pPr>
              <w:jc w:val="center"/>
              <w:rPr>
                <w:rFonts w:hint="default" w:ascii="宋体"/>
                <w:color w:val="000000"/>
                <w:kern w:val="0"/>
                <w:highlight w:val="none"/>
              </w:rPr>
            </w:pPr>
          </w:p>
        </w:tc>
        <w:tc>
          <w:tcPr>
            <w:tcW w:w="128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eastAsia="宋体" w:cs="宋体"/>
                <w:i w:val="0"/>
                <w:color w:val="000000"/>
                <w:kern w:val="0"/>
                <w:sz w:val="21"/>
                <w:szCs w:val="21"/>
                <w:highlight w:val="none"/>
                <w:u w:val="none"/>
                <w:lang w:val="en-US" w:eastAsia="zh-CN" w:bidi="ar-SA"/>
              </w:rPr>
              <w:t>小计</w:t>
            </w:r>
          </w:p>
        </w:tc>
        <w:tc>
          <w:tcPr>
            <w:tcW w:w="128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eastAsia="宋体" w:cs="宋体"/>
                <w:i w:val="0"/>
                <w:color w:val="000000"/>
                <w:kern w:val="0"/>
                <w:sz w:val="21"/>
                <w:szCs w:val="21"/>
                <w:highlight w:val="none"/>
                <w:u w:val="none"/>
                <w:lang w:val="en-US" w:eastAsia="zh-CN" w:bidi="ar-SA"/>
              </w:rPr>
              <w:t>基本支出</w:t>
            </w:r>
          </w:p>
        </w:tc>
        <w:tc>
          <w:tcPr>
            <w:tcW w:w="128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eastAsia="宋体" w:cs="宋体"/>
                <w:i w:val="0"/>
                <w:color w:val="000000"/>
                <w:kern w:val="0"/>
                <w:sz w:val="21"/>
                <w:szCs w:val="21"/>
                <w:highlight w:val="none"/>
                <w:u w:val="none"/>
                <w:lang w:val="en-US" w:eastAsia="zh-CN" w:bidi="ar-SA"/>
              </w:rPr>
              <w:t>项目支出</w:t>
            </w:r>
          </w:p>
        </w:tc>
        <w:tc>
          <w:tcPr>
            <w:tcW w:w="1286" w:type="dxa"/>
            <w:vMerge w:val="continue"/>
            <w:tcBorders>
              <w:top w:val="single" w:color="000000" w:sz="4" w:space="0"/>
              <w:left w:val="nil"/>
              <w:bottom w:val="single" w:color="000000" w:sz="4" w:space="0"/>
              <w:right w:val="single" w:color="000000" w:sz="4" w:space="0"/>
            </w:tcBorders>
            <w:vAlign w:val="center"/>
          </w:tcPr>
          <w:p>
            <w:pPr>
              <w:jc w:val="center"/>
              <w:rPr>
                <w:rFonts w:hint="default" w:ascii="宋体"/>
                <w:color w:val="000000"/>
                <w:kern w:val="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437"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eastAsia="宋体" w:cs="宋体"/>
                <w:i w:val="0"/>
                <w:color w:val="000000"/>
                <w:kern w:val="0"/>
                <w:sz w:val="21"/>
                <w:szCs w:val="21"/>
                <w:highlight w:val="none"/>
                <w:u w:val="none"/>
                <w:lang w:val="en-US" w:eastAsia="zh-CN" w:bidi="ar-SA"/>
              </w:rPr>
              <w:t>栏次</w:t>
            </w:r>
          </w:p>
        </w:tc>
        <w:tc>
          <w:tcPr>
            <w:tcW w:w="186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eastAsia="宋体" w:cs="宋体"/>
                <w:i w:val="0"/>
                <w:color w:val="000000"/>
                <w:kern w:val="0"/>
                <w:sz w:val="21"/>
                <w:szCs w:val="21"/>
                <w:highlight w:val="none"/>
                <w:u w:val="none"/>
                <w:lang w:val="en-US" w:eastAsia="zh-CN" w:bidi="ar-SA"/>
              </w:rPr>
              <w:t>1</w:t>
            </w:r>
          </w:p>
        </w:tc>
        <w:tc>
          <w:tcPr>
            <w:tcW w:w="128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eastAsia="宋体" w:cs="宋体"/>
                <w:i w:val="0"/>
                <w:color w:val="000000"/>
                <w:kern w:val="0"/>
                <w:sz w:val="21"/>
                <w:szCs w:val="21"/>
                <w:highlight w:val="none"/>
                <w:u w:val="none"/>
                <w:lang w:val="en-US" w:eastAsia="zh-CN" w:bidi="ar-SA"/>
              </w:rPr>
              <w:t>2</w:t>
            </w:r>
          </w:p>
        </w:tc>
        <w:tc>
          <w:tcPr>
            <w:tcW w:w="128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eastAsia="宋体" w:cs="宋体"/>
                <w:i w:val="0"/>
                <w:color w:val="000000"/>
                <w:kern w:val="0"/>
                <w:sz w:val="21"/>
                <w:szCs w:val="21"/>
                <w:highlight w:val="none"/>
                <w:u w:val="none"/>
                <w:lang w:val="en-US" w:eastAsia="zh-CN" w:bidi="ar-SA"/>
              </w:rPr>
              <w:t>3</w:t>
            </w:r>
          </w:p>
        </w:tc>
        <w:tc>
          <w:tcPr>
            <w:tcW w:w="128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eastAsia="宋体" w:cs="宋体"/>
                <w:i w:val="0"/>
                <w:color w:val="000000"/>
                <w:kern w:val="0"/>
                <w:sz w:val="21"/>
                <w:szCs w:val="21"/>
                <w:highlight w:val="none"/>
                <w:u w:val="none"/>
                <w:lang w:val="en-US" w:eastAsia="zh-CN" w:bidi="ar-SA"/>
              </w:rPr>
              <w:t>4</w:t>
            </w:r>
          </w:p>
        </w:tc>
        <w:tc>
          <w:tcPr>
            <w:tcW w:w="128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eastAsia="宋体" w:cs="宋体"/>
                <w:i w:val="0"/>
                <w:color w:val="000000"/>
                <w:kern w:val="0"/>
                <w:sz w:val="21"/>
                <w:szCs w:val="21"/>
                <w:highlight w:val="none"/>
                <w:u w:val="none"/>
                <w:lang w:val="en-US" w:eastAsia="zh-CN" w:bidi="ar-SA"/>
              </w:rPr>
              <w:t>5</w:t>
            </w:r>
          </w:p>
        </w:tc>
        <w:tc>
          <w:tcPr>
            <w:tcW w:w="128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eastAsia="宋体" w:cs="宋体"/>
                <w:i w:val="0"/>
                <w:color w:val="000000"/>
                <w:kern w:val="0"/>
                <w:sz w:val="21"/>
                <w:szCs w:val="21"/>
                <w:highlight w:val="none"/>
                <w:u w:val="none"/>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437"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eastAsia="宋体" w:cs="宋体"/>
                <w:i w:val="0"/>
                <w:color w:val="000000"/>
                <w:kern w:val="0"/>
                <w:sz w:val="21"/>
                <w:szCs w:val="21"/>
                <w:highlight w:val="none"/>
                <w:u w:val="none"/>
                <w:lang w:val="en-US" w:eastAsia="zh-CN" w:bidi="ar-SA"/>
              </w:rPr>
              <w:t>合计</w:t>
            </w:r>
          </w:p>
        </w:tc>
        <w:tc>
          <w:tcPr>
            <w:tcW w:w="186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1,579.10</w:t>
            </w:r>
          </w:p>
        </w:tc>
        <w:tc>
          <w:tcPr>
            <w:tcW w:w="128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1,606.04</w:t>
            </w:r>
          </w:p>
        </w:tc>
        <w:tc>
          <w:tcPr>
            <w:tcW w:w="128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3,185.14</w:t>
            </w:r>
          </w:p>
        </w:tc>
        <w:tc>
          <w:tcPr>
            <w:tcW w:w="128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8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3,185.14</w:t>
            </w:r>
          </w:p>
        </w:tc>
        <w:tc>
          <w:tcPr>
            <w:tcW w:w="128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229</w:t>
            </w:r>
          </w:p>
        </w:tc>
        <w:tc>
          <w:tcPr>
            <w:tcW w:w="4164"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其他支出</w:t>
            </w:r>
          </w:p>
        </w:tc>
        <w:tc>
          <w:tcPr>
            <w:tcW w:w="186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1,579.10</w:t>
            </w:r>
          </w:p>
        </w:tc>
        <w:tc>
          <w:tcPr>
            <w:tcW w:w="128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1,606.04</w:t>
            </w:r>
          </w:p>
        </w:tc>
        <w:tc>
          <w:tcPr>
            <w:tcW w:w="128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3,185.14</w:t>
            </w:r>
          </w:p>
        </w:tc>
        <w:tc>
          <w:tcPr>
            <w:tcW w:w="128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8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3,185.14</w:t>
            </w:r>
          </w:p>
        </w:tc>
        <w:tc>
          <w:tcPr>
            <w:tcW w:w="128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22960</w:t>
            </w:r>
          </w:p>
        </w:tc>
        <w:tc>
          <w:tcPr>
            <w:tcW w:w="4164"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彩票公益金安排的支出</w:t>
            </w:r>
          </w:p>
        </w:tc>
        <w:tc>
          <w:tcPr>
            <w:tcW w:w="186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1,579.10</w:t>
            </w:r>
          </w:p>
        </w:tc>
        <w:tc>
          <w:tcPr>
            <w:tcW w:w="128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1,606.04</w:t>
            </w:r>
          </w:p>
        </w:tc>
        <w:tc>
          <w:tcPr>
            <w:tcW w:w="128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3,185.14</w:t>
            </w:r>
          </w:p>
        </w:tc>
        <w:tc>
          <w:tcPr>
            <w:tcW w:w="128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8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3,185.14</w:t>
            </w:r>
          </w:p>
        </w:tc>
        <w:tc>
          <w:tcPr>
            <w:tcW w:w="128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2296003</w:t>
            </w:r>
          </w:p>
        </w:tc>
        <w:tc>
          <w:tcPr>
            <w:tcW w:w="4164"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 xml:space="preserve">  用于体育事业的彩票公益金支出</w:t>
            </w:r>
          </w:p>
        </w:tc>
        <w:tc>
          <w:tcPr>
            <w:tcW w:w="186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1,579.10</w:t>
            </w:r>
          </w:p>
        </w:tc>
        <w:tc>
          <w:tcPr>
            <w:tcW w:w="128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1,606.04</w:t>
            </w:r>
          </w:p>
        </w:tc>
        <w:tc>
          <w:tcPr>
            <w:tcW w:w="128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3,185.14</w:t>
            </w:r>
          </w:p>
        </w:tc>
        <w:tc>
          <w:tcPr>
            <w:tcW w:w="128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c>
          <w:tcPr>
            <w:tcW w:w="128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3,185.14</w:t>
            </w:r>
          </w:p>
        </w:tc>
        <w:tc>
          <w:tcPr>
            <w:tcW w:w="128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color w:val="000000"/>
                <w:kern w:val="0"/>
                <w:highlight w:val="none"/>
              </w:rPr>
            </w:pPr>
            <w:r>
              <w:rPr>
                <w:rFonts w:hint="eastAsia" w:ascii="宋体" w:hAnsi="宋体" w:eastAsia="宋体" w:cs="宋体"/>
                <w:i w:val="0"/>
                <w:color w:val="000000"/>
                <w:kern w:val="0"/>
                <w:sz w:val="22"/>
                <w:szCs w:val="22"/>
                <w:u w:val="none"/>
                <w:lang w:val="en-US" w:eastAsia="zh-CN" w:bidi="ar"/>
              </w:rPr>
              <w:t>0.00</w:t>
            </w:r>
          </w:p>
        </w:tc>
      </w:tr>
    </w:tbl>
    <w:p>
      <w:pPr>
        <w:widowControl/>
        <w:spacing w:line="560" w:lineRule="atLeast"/>
        <w:jc w:val="left"/>
        <w:rPr>
          <w:rFonts w:hint="default" w:ascii="宋体" w:hAnsi="宋体" w:eastAsia="宋体" w:cs="宋体"/>
          <w:kern w:val="0"/>
          <w:sz w:val="21"/>
          <w:szCs w:val="21"/>
          <w:highlight w:val="none"/>
        </w:rPr>
      </w:pPr>
      <w:r>
        <w:rPr>
          <w:rFonts w:hint="eastAsia" w:ascii="宋体" w:hAnsi="宋体" w:eastAsia="宋体" w:cs="宋体"/>
          <w:kern w:val="0"/>
          <w:sz w:val="21"/>
          <w:szCs w:val="21"/>
          <w:highlight w:val="none"/>
        </w:rPr>
        <w:t>注：1.本表反映部门本年度政府性基金预算财政拨款收入</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支出及结转和结余情况。2.本套报表金额单位转换时可能存在尾数误差。3.如本表为空，则我部门本年度无此类资金收支余。</w:t>
      </w:r>
    </w:p>
    <w:p>
      <w:pPr>
        <w:widowControl/>
        <w:spacing w:line="560" w:lineRule="atLeast"/>
        <w:rPr>
          <w:rFonts w:hint="eastAsia" w:ascii="仿宋_GB2312" w:hAnsi="宋体" w:eastAsia="仿宋_GB2312"/>
          <w:kern w:val="0"/>
          <w:sz w:val="24"/>
          <w:highlight w:val="none"/>
        </w:rPr>
        <w:sectPr>
          <w:pgSz w:w="16838" w:h="11906" w:orient="landscape"/>
          <w:pgMar w:top="1134" w:right="1247" w:bottom="958" w:left="1247" w:header="851" w:footer="992" w:gutter="0"/>
          <w:cols w:space="0" w:num="1"/>
          <w:rtlGutter w:val="0"/>
          <w:docGrid w:type="lines" w:linePitch="321" w:charSpace="0"/>
        </w:sectPr>
      </w:pPr>
    </w:p>
    <w:p>
      <w:pPr>
        <w:widowControl/>
        <w:spacing w:line="560" w:lineRule="atLeast"/>
        <w:rPr>
          <w:rFonts w:hint="eastAsia" w:ascii="仿宋_GB2312" w:hAnsi="宋体" w:eastAsia="仿宋_GB2312"/>
          <w:kern w:val="0"/>
          <w:sz w:val="24"/>
          <w:highlight w:val="none"/>
        </w:rPr>
      </w:pPr>
      <w:r>
        <w:rPr>
          <w:rFonts w:hint="eastAsia" w:ascii="仿宋_GB2312" w:hAnsi="宋体" w:eastAsia="仿宋_GB2312"/>
          <w:kern w:val="0"/>
          <w:sz w:val="24"/>
          <w:highlight w:val="none"/>
        </w:rPr>
        <w:t>附件1-</w:t>
      </w:r>
      <w:r>
        <w:rPr>
          <w:rFonts w:hint="eastAsia" w:ascii="仿宋_GB2312" w:hAnsi="宋体" w:eastAsia="仿宋_GB2312"/>
          <w:kern w:val="0"/>
          <w:sz w:val="24"/>
          <w:highlight w:val="none"/>
          <w:lang w:val="en-US" w:eastAsia="zh-CN"/>
        </w:rPr>
        <w:t>8</w:t>
      </w:r>
    </w:p>
    <w:tbl>
      <w:tblPr>
        <w:tblStyle w:val="5"/>
        <w:tblW w:w="12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87"/>
        <w:gridCol w:w="4143"/>
        <w:gridCol w:w="3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2860" w:type="dxa"/>
            <w:gridSpan w:val="3"/>
            <w:tcBorders>
              <w:top w:val="nil"/>
              <w:left w:val="nil"/>
              <w:bottom w:val="nil"/>
              <w:right w:val="nil"/>
            </w:tcBorders>
            <w:vAlign w:val="center"/>
          </w:tcPr>
          <w:p>
            <w:pPr>
              <w:widowControl/>
              <w:jc w:val="center"/>
              <w:rPr>
                <w:rFonts w:hint="default" w:ascii="宋体"/>
                <w:b/>
                <w:color w:val="000000"/>
                <w:kern w:val="0"/>
                <w:sz w:val="32"/>
                <w:highlight w:val="none"/>
              </w:rPr>
            </w:pPr>
            <w:r>
              <w:rPr>
                <w:rFonts w:hint="eastAsia" w:ascii="宋体" w:hAnsi="宋体"/>
                <w:b/>
                <w:color w:val="000000"/>
                <w:kern w:val="0"/>
                <w:sz w:val="32"/>
                <w:highlight w:val="none"/>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87" w:type="dxa"/>
            <w:tcBorders>
              <w:top w:val="nil"/>
              <w:left w:val="nil"/>
              <w:bottom w:val="nil"/>
              <w:right w:val="nil"/>
            </w:tcBorders>
            <w:shd w:val="clear" w:color="auto" w:fill="FFFFFF"/>
            <w:vAlign w:val="center"/>
          </w:tcPr>
          <w:p>
            <w:pPr>
              <w:widowControl/>
              <w:shd w:val="clear" w:color="auto" w:fill="FFFFFF"/>
              <w:jc w:val="center"/>
              <w:rPr>
                <w:rFonts w:hint="default" w:ascii="宋体"/>
                <w:color w:val="000000"/>
                <w:kern w:val="0"/>
                <w:sz w:val="20"/>
                <w:highlight w:val="none"/>
                <w:shd w:val="clear" w:color="auto" w:fill="FFFFFF"/>
              </w:rPr>
            </w:pPr>
          </w:p>
        </w:tc>
        <w:tc>
          <w:tcPr>
            <w:tcW w:w="4143" w:type="dxa"/>
            <w:tcBorders>
              <w:top w:val="nil"/>
              <w:left w:val="nil"/>
              <w:bottom w:val="nil"/>
              <w:right w:val="nil"/>
            </w:tcBorders>
            <w:shd w:val="clear" w:color="auto" w:fill="FFFFFF"/>
            <w:vAlign w:val="center"/>
          </w:tcPr>
          <w:p>
            <w:pPr>
              <w:widowControl/>
              <w:shd w:val="clear" w:color="auto" w:fill="FFFFFF"/>
              <w:jc w:val="center"/>
              <w:rPr>
                <w:rFonts w:hint="default" w:ascii="宋体"/>
                <w:color w:val="000000"/>
                <w:kern w:val="0"/>
                <w:sz w:val="20"/>
                <w:highlight w:val="none"/>
                <w:shd w:val="clear" w:color="auto" w:fill="FFFFFF"/>
              </w:rPr>
            </w:pPr>
          </w:p>
        </w:tc>
        <w:tc>
          <w:tcPr>
            <w:tcW w:w="3630" w:type="dxa"/>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sz w:val="24"/>
                <w:highlight w:val="none"/>
                <w:shd w:val="clear" w:color="auto" w:fill="FFFFFF"/>
              </w:rPr>
            </w:pPr>
            <w:r>
              <w:rPr>
                <w:rFonts w:hint="eastAsia" w:ascii="宋体" w:hAnsi="宋体"/>
                <w:color w:val="000000"/>
                <w:kern w:val="0"/>
                <w:sz w:val="24"/>
                <w:highlight w:val="none"/>
                <w:shd w:val="clear" w:color="auto" w:fill="FFFFFF"/>
              </w:rPr>
              <w:t>公开0</w:t>
            </w:r>
            <w:r>
              <w:rPr>
                <w:rFonts w:hint="eastAsia" w:ascii="宋体" w:hAnsi="宋体"/>
                <w:color w:val="000000"/>
                <w:kern w:val="0"/>
                <w:sz w:val="24"/>
                <w:highlight w:val="none"/>
                <w:shd w:val="clear" w:color="auto" w:fill="FFFFFF"/>
                <w:lang w:val="en-US" w:eastAsia="zh-CN"/>
              </w:rPr>
              <w:t>8</w:t>
            </w:r>
            <w:r>
              <w:rPr>
                <w:rFonts w:hint="eastAsia" w:ascii="宋体" w:hAnsi="宋体"/>
                <w:color w:val="000000"/>
                <w:kern w:val="0"/>
                <w:sz w:val="24"/>
                <w:highlight w:val="none"/>
                <w:shd w:val="clear" w:color="auto" w:fill="FFFFFF"/>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87" w:type="dxa"/>
            <w:tcBorders>
              <w:top w:val="nil"/>
              <w:left w:val="nil"/>
              <w:bottom w:val="nil"/>
              <w:right w:val="nil"/>
            </w:tcBorders>
            <w:shd w:val="clear" w:color="auto" w:fill="FFFFFF"/>
            <w:vAlign w:val="center"/>
          </w:tcPr>
          <w:p>
            <w:pPr>
              <w:widowControl/>
              <w:shd w:val="clear" w:color="auto" w:fill="FFFFFF"/>
              <w:jc w:val="left"/>
              <w:rPr>
                <w:rFonts w:hint="default" w:ascii="宋体"/>
                <w:color w:val="000000"/>
                <w:kern w:val="0"/>
                <w:sz w:val="22"/>
                <w:highlight w:val="none"/>
                <w:shd w:val="clear" w:color="auto" w:fill="FFFFFF"/>
              </w:rPr>
            </w:pPr>
            <w:r>
              <w:rPr>
                <w:rFonts w:hint="eastAsia" w:ascii="宋体" w:hAnsi="宋体"/>
                <w:color w:val="000000"/>
                <w:kern w:val="0"/>
                <w:sz w:val="22"/>
                <w:highlight w:val="none"/>
                <w:shd w:val="clear" w:color="auto" w:fill="FFFFFF"/>
              </w:rPr>
              <w:t>部门名称：</w:t>
            </w:r>
            <w:r>
              <w:rPr>
                <w:rFonts w:hint="eastAsia" w:ascii="宋体" w:hAnsi="宋体"/>
                <w:color w:val="000000"/>
                <w:kern w:val="0"/>
                <w:highlight w:val="none"/>
                <w:shd w:val="clear" w:color="auto" w:fill="FFFFFF"/>
                <w:lang w:eastAsia="zh-CN"/>
              </w:rPr>
              <w:t>沈阳市体育局本级</w:t>
            </w:r>
          </w:p>
        </w:tc>
        <w:tc>
          <w:tcPr>
            <w:tcW w:w="4143" w:type="dxa"/>
            <w:tcBorders>
              <w:top w:val="nil"/>
              <w:left w:val="nil"/>
              <w:bottom w:val="nil"/>
              <w:right w:val="nil"/>
            </w:tcBorders>
            <w:shd w:val="clear" w:color="auto" w:fill="FFFFFF"/>
            <w:vAlign w:val="center"/>
          </w:tcPr>
          <w:p>
            <w:pPr>
              <w:widowControl/>
              <w:shd w:val="clear" w:color="auto" w:fill="FFFFFF"/>
              <w:jc w:val="center"/>
              <w:rPr>
                <w:rFonts w:hint="default" w:ascii="宋体"/>
                <w:color w:val="000000"/>
                <w:kern w:val="0"/>
                <w:sz w:val="22"/>
                <w:highlight w:val="none"/>
                <w:shd w:val="clear" w:color="auto" w:fill="FFFFFF"/>
              </w:rPr>
            </w:pPr>
          </w:p>
        </w:tc>
        <w:tc>
          <w:tcPr>
            <w:tcW w:w="3630" w:type="dxa"/>
            <w:tcBorders>
              <w:top w:val="nil"/>
              <w:left w:val="nil"/>
              <w:bottom w:val="nil"/>
              <w:right w:val="nil"/>
            </w:tcBorders>
            <w:shd w:val="clear" w:color="auto" w:fill="FFFFFF"/>
            <w:vAlign w:val="center"/>
          </w:tcPr>
          <w:p>
            <w:pPr>
              <w:widowControl/>
              <w:shd w:val="clear" w:color="auto" w:fill="FFFFFF"/>
              <w:jc w:val="right"/>
              <w:rPr>
                <w:rFonts w:hint="default" w:ascii="宋体"/>
                <w:color w:val="000000"/>
                <w:kern w:val="0"/>
                <w:sz w:val="24"/>
                <w:highlight w:val="none"/>
                <w:shd w:val="clear" w:color="auto" w:fill="FFFFFF"/>
              </w:rPr>
            </w:pPr>
            <w:r>
              <w:rPr>
                <w:rFonts w:hint="eastAsia" w:ascii="宋体" w:hAnsi="宋体"/>
                <w:color w:val="000000"/>
                <w:kern w:val="0"/>
                <w:sz w:val="24"/>
                <w:highlight w:val="none"/>
                <w:shd w:val="clear" w:color="auto" w:fill="FFFFFF"/>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黑体" w:hAnsi="宋体" w:eastAsia="黑体"/>
                <w:color w:val="000000"/>
                <w:kern w:val="0"/>
                <w:sz w:val="24"/>
                <w:highlight w:val="none"/>
              </w:rPr>
            </w:pPr>
            <w:r>
              <w:rPr>
                <w:rFonts w:hint="eastAsia" w:ascii="黑体" w:hAnsi="宋体" w:eastAsia="黑体"/>
                <w:color w:val="000000"/>
                <w:kern w:val="0"/>
                <w:sz w:val="24"/>
                <w:highlight w:val="none"/>
              </w:rPr>
              <w:t>项    目</w:t>
            </w:r>
          </w:p>
        </w:tc>
        <w:tc>
          <w:tcPr>
            <w:tcW w:w="4143" w:type="dxa"/>
            <w:tcBorders>
              <w:top w:val="single" w:color="000000" w:sz="4" w:space="0"/>
              <w:left w:val="nil"/>
              <w:bottom w:val="single" w:color="000000" w:sz="4" w:space="0"/>
              <w:right w:val="single" w:color="000000" w:sz="4" w:space="0"/>
            </w:tcBorders>
            <w:vAlign w:val="center"/>
          </w:tcPr>
          <w:p>
            <w:pPr>
              <w:widowControl/>
              <w:jc w:val="center"/>
              <w:rPr>
                <w:rFonts w:hint="default" w:ascii="黑体" w:hAnsi="宋体" w:eastAsia="黑体"/>
                <w:color w:val="000000"/>
                <w:kern w:val="0"/>
                <w:sz w:val="24"/>
                <w:highlight w:val="none"/>
              </w:rPr>
            </w:pPr>
            <w:r>
              <w:rPr>
                <w:rFonts w:hint="eastAsia" w:ascii="黑体" w:hAnsi="宋体" w:eastAsia="黑体"/>
                <w:color w:val="000000"/>
                <w:kern w:val="0"/>
                <w:sz w:val="24"/>
                <w:highlight w:val="none"/>
              </w:rPr>
              <w:t>预算数</w:t>
            </w:r>
          </w:p>
        </w:tc>
        <w:tc>
          <w:tcPr>
            <w:tcW w:w="3630" w:type="dxa"/>
            <w:tcBorders>
              <w:top w:val="single" w:color="000000" w:sz="4" w:space="0"/>
              <w:left w:val="nil"/>
              <w:bottom w:val="single" w:color="000000" w:sz="4" w:space="0"/>
              <w:right w:val="single" w:color="000000" w:sz="4" w:space="0"/>
            </w:tcBorders>
            <w:vAlign w:val="center"/>
          </w:tcPr>
          <w:p>
            <w:pPr>
              <w:widowControl/>
              <w:jc w:val="center"/>
              <w:rPr>
                <w:rFonts w:hint="default" w:ascii="黑体" w:hAnsi="宋体" w:eastAsia="黑体"/>
                <w:color w:val="000000"/>
                <w:kern w:val="0"/>
                <w:sz w:val="24"/>
                <w:highlight w:val="none"/>
              </w:rPr>
            </w:pPr>
            <w:r>
              <w:rPr>
                <w:rFonts w:hint="eastAsia" w:ascii="黑体" w:hAnsi="宋体" w:eastAsia="黑体"/>
                <w:color w:val="000000"/>
                <w:kern w:val="0"/>
                <w:sz w:val="24"/>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color w:val="000000"/>
                <w:kern w:val="0"/>
                <w:sz w:val="24"/>
                <w:highlight w:val="none"/>
              </w:rPr>
            </w:pPr>
            <w:r>
              <w:rPr>
                <w:rFonts w:hint="eastAsia" w:ascii="宋体" w:hAnsi="宋体"/>
                <w:color w:val="000000"/>
                <w:kern w:val="0"/>
                <w:sz w:val="24"/>
                <w:highlight w:val="none"/>
              </w:rPr>
              <w:t>合    计</w:t>
            </w:r>
          </w:p>
        </w:tc>
        <w:tc>
          <w:tcPr>
            <w:tcW w:w="4143" w:type="dxa"/>
            <w:tcBorders>
              <w:top w:val="single" w:color="000000" w:sz="4" w:space="0"/>
              <w:left w:val="nil"/>
              <w:bottom w:val="single" w:color="000000" w:sz="4" w:space="0"/>
              <w:right w:val="single" w:color="000000" w:sz="4" w:space="0"/>
            </w:tcBorders>
            <w:vAlign w:val="center"/>
          </w:tcPr>
          <w:p>
            <w:pPr>
              <w:widowControl/>
              <w:jc w:val="center"/>
              <w:rPr>
                <w:rFonts w:hint="default" w:ascii="宋体" w:eastAsia="宋体"/>
                <w:color w:val="000000"/>
                <w:kern w:val="0"/>
                <w:sz w:val="22"/>
                <w:highlight w:val="none"/>
                <w:lang w:val="en-US" w:eastAsia="zh-CN"/>
              </w:rPr>
            </w:pPr>
            <w:r>
              <w:rPr>
                <w:rFonts w:hint="eastAsia" w:ascii="宋体" w:eastAsia="宋体"/>
                <w:b/>
                <w:color w:val="000000"/>
                <w:kern w:val="0"/>
                <w:sz w:val="22"/>
                <w:highlight w:val="none"/>
                <w:lang w:val="en-US" w:eastAsia="zh-CN"/>
              </w:rPr>
              <w:t>27.6</w:t>
            </w:r>
          </w:p>
        </w:tc>
        <w:tc>
          <w:tcPr>
            <w:tcW w:w="3630" w:type="dxa"/>
            <w:tcBorders>
              <w:top w:val="single" w:color="000000" w:sz="4" w:space="0"/>
              <w:left w:val="nil"/>
              <w:bottom w:val="single" w:color="000000" w:sz="4" w:space="0"/>
              <w:right w:val="single" w:color="000000" w:sz="4" w:space="0"/>
            </w:tcBorders>
            <w:vAlign w:val="center"/>
          </w:tcPr>
          <w:p>
            <w:pPr>
              <w:widowControl/>
              <w:jc w:val="center"/>
              <w:rPr>
                <w:rFonts w:hint="default" w:ascii="宋体" w:eastAsia="宋体"/>
                <w:color w:val="000000"/>
                <w:kern w:val="0"/>
                <w:sz w:val="22"/>
                <w:highlight w:val="none"/>
                <w:lang w:val="en-US" w:eastAsia="zh-CN"/>
              </w:rPr>
            </w:pPr>
            <w:r>
              <w:rPr>
                <w:rFonts w:hint="eastAsia" w:ascii="宋体" w:eastAsia="宋体"/>
                <w:b/>
                <w:color w:val="000000"/>
                <w:kern w:val="0"/>
                <w:sz w:val="22"/>
                <w:highlight w:val="none"/>
                <w:lang w:val="en-US" w:eastAsia="zh-CN"/>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8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宋体"/>
                <w:color w:val="000000"/>
                <w:kern w:val="0"/>
                <w:sz w:val="24"/>
                <w:highlight w:val="none"/>
              </w:rPr>
            </w:pPr>
            <w:r>
              <w:rPr>
                <w:rFonts w:hint="eastAsia" w:ascii="宋体" w:hAnsi="宋体"/>
                <w:color w:val="000000"/>
                <w:kern w:val="0"/>
                <w:sz w:val="24"/>
                <w:highlight w:val="none"/>
              </w:rPr>
              <w:t>1、因公出国（境）费</w:t>
            </w:r>
          </w:p>
        </w:tc>
        <w:tc>
          <w:tcPr>
            <w:tcW w:w="4143" w:type="dxa"/>
            <w:tcBorders>
              <w:top w:val="single" w:color="000000" w:sz="4" w:space="0"/>
              <w:left w:val="nil"/>
              <w:bottom w:val="single" w:color="000000" w:sz="4" w:space="0"/>
              <w:right w:val="single" w:color="000000" w:sz="4" w:space="0"/>
            </w:tcBorders>
            <w:vAlign w:val="center"/>
          </w:tcPr>
          <w:p>
            <w:pPr>
              <w:widowControl/>
              <w:jc w:val="center"/>
              <w:rPr>
                <w:rFonts w:hint="default" w:ascii="宋体" w:eastAsia="宋体"/>
                <w:b/>
                <w:color w:val="000000"/>
                <w:kern w:val="0"/>
                <w:sz w:val="22"/>
                <w:highlight w:val="none"/>
                <w:lang w:val="en-US" w:eastAsia="zh-CN"/>
              </w:rPr>
            </w:pPr>
            <w:r>
              <w:rPr>
                <w:rFonts w:hint="eastAsia" w:ascii="宋体"/>
                <w:b/>
                <w:color w:val="000000"/>
                <w:kern w:val="0"/>
                <w:sz w:val="22"/>
                <w:highlight w:val="none"/>
                <w:lang w:val="en-US" w:eastAsia="zh-CN"/>
              </w:rPr>
              <w:t>7.4</w:t>
            </w:r>
          </w:p>
        </w:tc>
        <w:tc>
          <w:tcPr>
            <w:tcW w:w="3630" w:type="dxa"/>
            <w:tcBorders>
              <w:top w:val="single" w:color="000000" w:sz="4" w:space="0"/>
              <w:left w:val="nil"/>
              <w:bottom w:val="single" w:color="000000" w:sz="4" w:space="0"/>
              <w:right w:val="single" w:color="000000" w:sz="4" w:space="0"/>
            </w:tcBorders>
            <w:vAlign w:val="center"/>
          </w:tcPr>
          <w:p>
            <w:pPr>
              <w:widowControl/>
              <w:jc w:val="center"/>
              <w:rPr>
                <w:rFonts w:hint="default" w:ascii="宋体"/>
                <w:b/>
                <w:color w:val="000000"/>
                <w:kern w:val="0"/>
                <w:sz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8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宋体"/>
                <w:color w:val="000000"/>
                <w:kern w:val="0"/>
                <w:sz w:val="24"/>
                <w:highlight w:val="none"/>
              </w:rPr>
            </w:pPr>
            <w:r>
              <w:rPr>
                <w:rFonts w:hint="eastAsia" w:ascii="宋体" w:hAnsi="宋体"/>
                <w:color w:val="000000"/>
                <w:kern w:val="0"/>
                <w:sz w:val="24"/>
                <w:highlight w:val="none"/>
              </w:rPr>
              <w:t>2、公务接待费</w:t>
            </w:r>
          </w:p>
        </w:tc>
        <w:tc>
          <w:tcPr>
            <w:tcW w:w="4143"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eastAsia="宋体"/>
                <w:b/>
                <w:color w:val="000000"/>
                <w:kern w:val="0"/>
                <w:sz w:val="22"/>
                <w:highlight w:val="none"/>
                <w:lang w:val="en-US" w:eastAsia="zh-CN"/>
              </w:rPr>
            </w:pPr>
            <w:r>
              <w:rPr>
                <w:rFonts w:hint="eastAsia" w:ascii="宋体"/>
                <w:b/>
                <w:color w:val="000000"/>
                <w:kern w:val="0"/>
                <w:sz w:val="22"/>
                <w:highlight w:val="none"/>
                <w:lang w:val="en-US" w:eastAsia="zh-CN"/>
              </w:rPr>
              <w:t>1</w:t>
            </w:r>
          </w:p>
        </w:tc>
        <w:tc>
          <w:tcPr>
            <w:tcW w:w="3630" w:type="dxa"/>
            <w:tcBorders>
              <w:top w:val="single" w:color="000000" w:sz="4" w:space="0"/>
              <w:left w:val="nil"/>
              <w:bottom w:val="single" w:color="000000" w:sz="4" w:space="0"/>
              <w:right w:val="single" w:color="000000" w:sz="4" w:space="0"/>
            </w:tcBorders>
            <w:vAlign w:val="center"/>
          </w:tcPr>
          <w:p>
            <w:pPr>
              <w:widowControl/>
              <w:jc w:val="center"/>
              <w:rPr>
                <w:rFonts w:hint="default" w:ascii="宋体"/>
                <w:b/>
                <w:color w:val="000000"/>
                <w:kern w:val="0"/>
                <w:sz w:val="22"/>
                <w:highlight w:val="none"/>
              </w:rPr>
            </w:pPr>
            <w:r>
              <w:rPr>
                <w:rFonts w:hint="default" w:ascii="宋体"/>
                <w:b/>
                <w:color w:val="000000"/>
                <w:kern w:val="0"/>
                <w:sz w:val="22"/>
                <w:highlight w:val="none"/>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8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宋体"/>
                <w:color w:val="000000"/>
                <w:kern w:val="0"/>
                <w:sz w:val="24"/>
                <w:highlight w:val="none"/>
              </w:rPr>
            </w:pPr>
            <w:r>
              <w:rPr>
                <w:rFonts w:hint="eastAsia" w:ascii="宋体" w:hAnsi="宋体"/>
                <w:color w:val="000000"/>
                <w:kern w:val="0"/>
                <w:sz w:val="24"/>
                <w:highlight w:val="none"/>
              </w:rPr>
              <w:t>3、公务用车购置及运行费</w:t>
            </w:r>
          </w:p>
        </w:tc>
        <w:tc>
          <w:tcPr>
            <w:tcW w:w="4143" w:type="dxa"/>
            <w:tcBorders>
              <w:top w:val="single" w:color="000000" w:sz="4" w:space="0"/>
              <w:left w:val="nil"/>
              <w:bottom w:val="single" w:color="000000" w:sz="4" w:space="0"/>
              <w:right w:val="single" w:color="000000" w:sz="4" w:space="0"/>
            </w:tcBorders>
            <w:vAlign w:val="center"/>
          </w:tcPr>
          <w:p>
            <w:pPr>
              <w:widowControl/>
              <w:jc w:val="center"/>
              <w:rPr>
                <w:rFonts w:hint="default" w:ascii="宋体" w:eastAsia="宋体"/>
                <w:b/>
                <w:color w:val="000000"/>
                <w:kern w:val="0"/>
                <w:sz w:val="22"/>
                <w:highlight w:val="none"/>
                <w:lang w:val="en-US" w:eastAsia="zh-CN"/>
              </w:rPr>
            </w:pPr>
            <w:r>
              <w:rPr>
                <w:rFonts w:hint="eastAsia" w:ascii="宋体"/>
                <w:b/>
                <w:color w:val="000000"/>
                <w:kern w:val="0"/>
                <w:sz w:val="22"/>
                <w:highlight w:val="none"/>
                <w:lang w:val="en-US" w:eastAsia="zh-CN"/>
              </w:rPr>
              <w:t>19.2</w:t>
            </w:r>
          </w:p>
        </w:tc>
        <w:tc>
          <w:tcPr>
            <w:tcW w:w="3630" w:type="dxa"/>
            <w:tcBorders>
              <w:top w:val="single" w:color="000000" w:sz="4" w:space="0"/>
              <w:left w:val="nil"/>
              <w:bottom w:val="single" w:color="000000" w:sz="4" w:space="0"/>
              <w:right w:val="single" w:color="000000" w:sz="4" w:space="0"/>
            </w:tcBorders>
            <w:vAlign w:val="center"/>
          </w:tcPr>
          <w:p>
            <w:pPr>
              <w:widowControl/>
              <w:jc w:val="center"/>
              <w:rPr>
                <w:rFonts w:hint="default" w:ascii="宋体" w:eastAsia="宋体"/>
                <w:b/>
                <w:color w:val="000000"/>
                <w:kern w:val="0"/>
                <w:sz w:val="22"/>
                <w:highlight w:val="none"/>
                <w:lang w:val="en-US" w:eastAsia="zh-CN"/>
              </w:rPr>
            </w:pPr>
            <w:r>
              <w:rPr>
                <w:rFonts w:hint="eastAsia" w:ascii="宋体"/>
                <w:b/>
                <w:color w:val="000000"/>
                <w:kern w:val="0"/>
                <w:sz w:val="22"/>
                <w:highlight w:val="none"/>
                <w:lang w:val="en-US" w:eastAsia="zh-CN"/>
              </w:rPr>
              <w:t>14.46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8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宋体"/>
                <w:color w:val="000000"/>
                <w:kern w:val="0"/>
                <w:sz w:val="24"/>
                <w:highlight w:val="none"/>
              </w:rPr>
            </w:pPr>
            <w:r>
              <w:rPr>
                <w:rFonts w:hint="eastAsia" w:ascii="宋体" w:hAnsi="宋体"/>
                <w:color w:val="000000"/>
                <w:kern w:val="0"/>
                <w:sz w:val="24"/>
                <w:highlight w:val="none"/>
              </w:rPr>
              <w:t>其中: （1）公务用车</w:t>
            </w:r>
            <w:r>
              <w:rPr>
                <w:rFonts w:hint="eastAsia" w:ascii="宋体" w:hAnsi="宋体"/>
                <w:color w:val="000000"/>
                <w:kern w:val="0"/>
                <w:sz w:val="24"/>
                <w:highlight w:val="none"/>
                <w:lang w:val="en-US" w:eastAsia="zh-CN"/>
              </w:rPr>
              <w:t>购置费</w:t>
            </w:r>
          </w:p>
        </w:tc>
        <w:tc>
          <w:tcPr>
            <w:tcW w:w="4143" w:type="dxa"/>
            <w:tcBorders>
              <w:top w:val="single" w:color="000000" w:sz="4" w:space="0"/>
              <w:left w:val="nil"/>
              <w:bottom w:val="single" w:color="000000" w:sz="4" w:space="0"/>
              <w:right w:val="single" w:color="000000" w:sz="4" w:space="0"/>
            </w:tcBorders>
            <w:vAlign w:val="center"/>
          </w:tcPr>
          <w:p>
            <w:pPr>
              <w:widowControl/>
              <w:jc w:val="center"/>
              <w:rPr>
                <w:rFonts w:hint="default" w:ascii="宋体" w:eastAsia="宋体"/>
                <w:b/>
                <w:color w:val="000000"/>
                <w:kern w:val="0"/>
                <w:sz w:val="22"/>
                <w:highlight w:val="none"/>
                <w:lang w:val="en-US" w:eastAsia="zh-CN"/>
              </w:rPr>
            </w:pPr>
            <w:r>
              <w:rPr>
                <w:rFonts w:hint="eastAsia" w:ascii="宋体"/>
                <w:b/>
                <w:color w:val="000000"/>
                <w:kern w:val="0"/>
                <w:sz w:val="22"/>
                <w:highlight w:val="none"/>
                <w:lang w:val="en-US" w:eastAsia="zh-CN"/>
              </w:rPr>
              <w:t>13.2</w:t>
            </w:r>
          </w:p>
        </w:tc>
        <w:tc>
          <w:tcPr>
            <w:tcW w:w="3630" w:type="dxa"/>
            <w:tcBorders>
              <w:top w:val="single" w:color="000000" w:sz="4" w:space="0"/>
              <w:left w:val="nil"/>
              <w:bottom w:val="single" w:color="000000" w:sz="4" w:space="0"/>
              <w:right w:val="single" w:color="000000" w:sz="4" w:space="0"/>
            </w:tcBorders>
            <w:vAlign w:val="center"/>
          </w:tcPr>
          <w:p>
            <w:pPr>
              <w:widowControl/>
              <w:jc w:val="center"/>
              <w:rPr>
                <w:rFonts w:hint="default" w:ascii="宋体" w:eastAsia="宋体"/>
                <w:b/>
                <w:color w:val="000000"/>
                <w:kern w:val="0"/>
                <w:sz w:val="22"/>
                <w:highlight w:val="none"/>
                <w:lang w:val="en-US" w:eastAsia="zh-CN"/>
              </w:rPr>
            </w:pPr>
            <w:r>
              <w:rPr>
                <w:rFonts w:hint="eastAsia" w:ascii="宋体"/>
                <w:b/>
                <w:color w:val="000000"/>
                <w:kern w:val="0"/>
                <w:sz w:val="22"/>
                <w:highlight w:val="none"/>
                <w:lang w:val="en-US" w:eastAsia="zh-CN"/>
              </w:rPr>
              <w:t>11.95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8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宋体"/>
                <w:color w:val="000000"/>
                <w:kern w:val="0"/>
                <w:sz w:val="24"/>
                <w:highlight w:val="none"/>
              </w:rPr>
            </w:pPr>
            <w:r>
              <w:rPr>
                <w:rFonts w:hint="eastAsia" w:ascii="宋体" w:hAnsi="宋体"/>
                <w:color w:val="000000"/>
                <w:kern w:val="0"/>
                <w:sz w:val="24"/>
                <w:highlight w:val="none"/>
              </w:rPr>
              <w:t xml:space="preserve">      （2）公务用车</w:t>
            </w:r>
            <w:r>
              <w:rPr>
                <w:rFonts w:hint="eastAsia" w:ascii="宋体" w:hAnsi="宋体"/>
                <w:color w:val="000000"/>
                <w:kern w:val="0"/>
                <w:sz w:val="24"/>
                <w:highlight w:val="none"/>
                <w:lang w:val="en-US" w:eastAsia="zh-CN"/>
              </w:rPr>
              <w:t>运行维护费</w:t>
            </w:r>
          </w:p>
        </w:tc>
        <w:tc>
          <w:tcPr>
            <w:tcW w:w="4143" w:type="dxa"/>
            <w:tcBorders>
              <w:top w:val="single" w:color="000000" w:sz="4" w:space="0"/>
              <w:left w:val="nil"/>
              <w:bottom w:val="single" w:color="000000" w:sz="4" w:space="0"/>
              <w:right w:val="single" w:color="000000" w:sz="4" w:space="0"/>
            </w:tcBorders>
            <w:vAlign w:val="center"/>
          </w:tcPr>
          <w:p>
            <w:pPr>
              <w:widowControl/>
              <w:jc w:val="center"/>
              <w:rPr>
                <w:rFonts w:hint="default" w:ascii="宋体" w:eastAsia="宋体"/>
                <w:b/>
                <w:color w:val="000000"/>
                <w:kern w:val="0"/>
                <w:sz w:val="22"/>
                <w:highlight w:val="none"/>
                <w:lang w:val="en-US" w:eastAsia="zh-CN"/>
              </w:rPr>
            </w:pPr>
            <w:r>
              <w:rPr>
                <w:rFonts w:hint="eastAsia" w:ascii="宋体"/>
                <w:b/>
                <w:color w:val="000000"/>
                <w:kern w:val="0"/>
                <w:sz w:val="22"/>
                <w:highlight w:val="none"/>
                <w:lang w:val="en-US" w:eastAsia="zh-CN"/>
              </w:rPr>
              <w:t>6</w:t>
            </w:r>
          </w:p>
        </w:tc>
        <w:tc>
          <w:tcPr>
            <w:tcW w:w="3630" w:type="dxa"/>
            <w:tcBorders>
              <w:top w:val="single" w:color="000000" w:sz="4" w:space="0"/>
              <w:left w:val="nil"/>
              <w:bottom w:val="single" w:color="000000" w:sz="4" w:space="0"/>
              <w:right w:val="single" w:color="000000" w:sz="4" w:space="0"/>
            </w:tcBorders>
            <w:vAlign w:val="center"/>
          </w:tcPr>
          <w:p>
            <w:pPr>
              <w:widowControl/>
              <w:jc w:val="center"/>
              <w:rPr>
                <w:rFonts w:hint="default" w:ascii="宋体"/>
                <w:color w:val="000000"/>
                <w:kern w:val="0"/>
                <w:sz w:val="22"/>
                <w:highlight w:val="none"/>
                <w:lang w:val="en-US"/>
              </w:rPr>
            </w:pPr>
            <w:r>
              <w:rPr>
                <w:rFonts w:hint="eastAsia" w:ascii="宋体" w:eastAsia="宋体"/>
                <w:b/>
                <w:color w:val="000000"/>
                <w:kern w:val="0"/>
                <w:sz w:val="22"/>
                <w:highlight w:val="none"/>
                <w:lang w:val="en-US" w:eastAsia="zh-CN"/>
              </w:rPr>
              <w:t>2.51</w:t>
            </w:r>
          </w:p>
        </w:tc>
      </w:tr>
    </w:tbl>
    <w:p>
      <w:pPr>
        <w:widowControl/>
        <w:spacing w:line="560" w:lineRule="atLeast"/>
        <w:jc w:val="left"/>
        <w:rPr>
          <w:rFonts w:hint="default" w:ascii="宋体" w:hAnsi="宋体" w:eastAsia="宋体" w:cs="宋体"/>
          <w:kern w:val="0"/>
          <w:sz w:val="21"/>
          <w:szCs w:val="21"/>
          <w:highlight w:val="none"/>
        </w:rPr>
      </w:pPr>
      <w:r>
        <w:rPr>
          <w:rFonts w:hint="eastAsia" w:ascii="宋体" w:hAnsi="宋体" w:eastAsia="宋体" w:cs="宋体"/>
          <w:kern w:val="0"/>
          <w:sz w:val="21"/>
          <w:szCs w:val="21"/>
          <w:highlight w:val="none"/>
        </w:rPr>
        <w:t>注：1.本表反映部门本年度“三公”经费支出预决算情况。其中：预算数为</w:t>
      </w:r>
      <w:r>
        <w:rPr>
          <w:rFonts w:hint="eastAsia" w:ascii="宋体" w:hAnsi="宋体" w:eastAsia="宋体" w:cs="宋体"/>
          <w:kern w:val="0"/>
          <w:sz w:val="21"/>
          <w:szCs w:val="21"/>
          <w:highlight w:val="none"/>
          <w:lang w:eastAsia="zh-CN"/>
        </w:rPr>
        <w:t>“三公”经费</w:t>
      </w:r>
      <w:r>
        <w:rPr>
          <w:rFonts w:hint="eastAsia" w:ascii="宋体" w:hAnsi="宋体" w:eastAsia="宋体" w:cs="宋体"/>
          <w:kern w:val="0"/>
          <w:sz w:val="21"/>
          <w:szCs w:val="21"/>
          <w:highlight w:val="none"/>
        </w:rPr>
        <w:t>年初预算数</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决算数是包括当年一般公共预算财政拨款和以前年度结转资金安排的实际支出。</w:t>
      </w:r>
      <w:r>
        <w:rPr>
          <w:rFonts w:hint="eastAsia" w:ascii="宋体" w:hAnsi="宋体" w:cs="宋体"/>
          <w:kern w:val="0"/>
          <w:sz w:val="21"/>
          <w:szCs w:val="21"/>
          <w:highlight w:val="none"/>
          <w:lang w:val="en-US" w:eastAsia="zh-CN"/>
        </w:rPr>
        <w:t>2.</w:t>
      </w:r>
      <w:r>
        <w:rPr>
          <w:rFonts w:hint="eastAsia" w:ascii="宋体" w:hAnsi="宋体" w:eastAsia="宋体" w:cs="宋体"/>
          <w:kern w:val="0"/>
          <w:sz w:val="21"/>
          <w:szCs w:val="21"/>
          <w:highlight w:val="none"/>
        </w:rPr>
        <w:t>本套报表金额单位转换时可能存在尾数误差。3.如本表为空，则我部门本年度无此类资金收支余。</w:t>
      </w:r>
    </w:p>
    <w:p>
      <w:pPr>
        <w:widowControl/>
        <w:spacing w:line="560" w:lineRule="atLeast"/>
        <w:rPr>
          <w:rFonts w:hint="eastAsia" w:ascii="仿宋_GB2312" w:hAnsi="宋体" w:eastAsia="仿宋_GB2312"/>
          <w:kern w:val="0"/>
          <w:sz w:val="24"/>
          <w:highlight w:val="none"/>
        </w:rPr>
      </w:pPr>
    </w:p>
    <w:p>
      <w:pPr>
        <w:widowControl/>
        <w:spacing w:line="560" w:lineRule="atLeast"/>
        <w:rPr>
          <w:rFonts w:hint="eastAsia" w:ascii="仿宋_GB2312" w:hAnsi="宋体" w:eastAsia="仿宋_GB2312"/>
          <w:kern w:val="0"/>
          <w:sz w:val="24"/>
          <w:highlight w:val="none"/>
        </w:rPr>
      </w:pPr>
    </w:p>
    <w:p>
      <w:pPr>
        <w:widowControl/>
        <w:spacing w:line="560" w:lineRule="atLeast"/>
        <w:rPr>
          <w:rFonts w:hint="eastAsia" w:ascii="仿宋_GB2312" w:hAnsi="宋体" w:eastAsia="仿宋_GB2312"/>
          <w:kern w:val="0"/>
          <w:sz w:val="24"/>
          <w:highlight w:val="none"/>
        </w:rPr>
      </w:pPr>
      <w:r>
        <w:rPr>
          <w:rFonts w:hint="eastAsia" w:ascii="仿宋_GB2312" w:hAnsi="宋体" w:eastAsia="仿宋_GB2312"/>
          <w:kern w:val="0"/>
          <w:sz w:val="24"/>
          <w:highlight w:val="none"/>
        </w:rPr>
        <w:t>附件1-</w:t>
      </w:r>
      <w:r>
        <w:rPr>
          <w:rFonts w:hint="eastAsia" w:ascii="仿宋_GB2312" w:hAnsi="宋体" w:eastAsia="仿宋_GB2312"/>
          <w:kern w:val="0"/>
          <w:sz w:val="24"/>
          <w:highlight w:val="none"/>
          <w:lang w:val="en-US" w:eastAsia="zh-CN"/>
        </w:rPr>
        <w:t>9</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32"/>
        <w:gridCol w:w="1266"/>
        <w:gridCol w:w="1266"/>
        <w:gridCol w:w="1266"/>
        <w:gridCol w:w="1266"/>
        <w:gridCol w:w="1266"/>
        <w:gridCol w:w="1266"/>
        <w:gridCol w:w="2044"/>
        <w:gridCol w:w="20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4174" w:type="dxa"/>
            <w:gridSpan w:val="9"/>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default" w:ascii="宋体"/>
                <w:b/>
                <w:color w:val="000000"/>
                <w:kern w:val="0"/>
                <w:highlight w:val="none"/>
                <w:shd w:val="clear" w:color="auto" w:fill="FFFFFF"/>
              </w:rPr>
            </w:pPr>
            <w:r>
              <w:rPr>
                <w:rFonts w:hint="eastAsia" w:ascii="宋体" w:hAnsi="宋体" w:cs="宋体"/>
                <w:b/>
                <w:i w:val="0"/>
                <w:color w:val="000000"/>
                <w:kern w:val="0"/>
                <w:sz w:val="28"/>
                <w:szCs w:val="28"/>
                <w:highlight w:val="none"/>
                <w:u w:val="none"/>
                <w:lang w:val="en-US" w:eastAsia="zh-CN" w:bidi="ar-SA"/>
              </w:rPr>
              <w:t>国有资本经营预算</w:t>
            </w:r>
            <w:r>
              <w:rPr>
                <w:rFonts w:hint="eastAsia" w:ascii="宋体" w:hAnsi="宋体" w:eastAsia="宋体" w:cs="宋体"/>
                <w:b/>
                <w:i w:val="0"/>
                <w:color w:val="000000"/>
                <w:kern w:val="0"/>
                <w:sz w:val="28"/>
                <w:szCs w:val="28"/>
                <w:highlight w:val="none"/>
                <w:u w:val="none"/>
                <w:lang w:val="en-US" w:eastAsia="zh-CN" w:bidi="ar-SA"/>
              </w:rPr>
              <w:t>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jc w:val="center"/>
        </w:trPr>
        <w:tc>
          <w:tcPr>
            <w:tcW w:w="2532" w:type="dxa"/>
            <w:tcBorders>
              <w:top w:val="nil"/>
              <w:left w:val="nil"/>
              <w:bottom w:val="nil"/>
              <w:right w:val="nil"/>
            </w:tcBorders>
            <w:shd w:val="clear" w:color="auto" w:fill="FFFFFF"/>
            <w:vAlign w:val="bottom"/>
          </w:tcPr>
          <w:p>
            <w:pPr>
              <w:jc w:val="left"/>
              <w:rPr>
                <w:rFonts w:hint="default" w:ascii="宋体"/>
                <w:color w:val="000000"/>
                <w:kern w:val="0"/>
                <w:sz w:val="18"/>
                <w:highlight w:val="none"/>
                <w:shd w:val="clear" w:color="auto" w:fill="FFFFFF"/>
              </w:rPr>
            </w:pPr>
          </w:p>
        </w:tc>
        <w:tc>
          <w:tcPr>
            <w:tcW w:w="1266" w:type="dxa"/>
            <w:tcBorders>
              <w:top w:val="nil"/>
              <w:left w:val="nil"/>
              <w:bottom w:val="nil"/>
              <w:right w:val="nil"/>
            </w:tcBorders>
            <w:shd w:val="clear" w:color="auto" w:fill="FFFFFF"/>
            <w:vAlign w:val="bottom"/>
          </w:tcPr>
          <w:p>
            <w:pPr>
              <w:jc w:val="left"/>
              <w:rPr>
                <w:rFonts w:hint="default" w:ascii="宋体"/>
                <w:color w:val="000000"/>
                <w:kern w:val="0"/>
                <w:sz w:val="18"/>
                <w:highlight w:val="none"/>
                <w:shd w:val="clear" w:color="auto" w:fill="FFFFFF"/>
              </w:rPr>
            </w:pPr>
          </w:p>
        </w:tc>
        <w:tc>
          <w:tcPr>
            <w:tcW w:w="1266" w:type="dxa"/>
            <w:tcBorders>
              <w:top w:val="nil"/>
              <w:left w:val="nil"/>
              <w:bottom w:val="nil"/>
              <w:right w:val="nil"/>
            </w:tcBorders>
            <w:shd w:val="clear" w:color="auto" w:fill="FFFFFF"/>
            <w:vAlign w:val="bottom"/>
          </w:tcPr>
          <w:p>
            <w:pPr>
              <w:jc w:val="left"/>
              <w:rPr>
                <w:rFonts w:hint="default" w:ascii="宋体"/>
                <w:color w:val="000000"/>
                <w:kern w:val="0"/>
                <w:sz w:val="18"/>
                <w:highlight w:val="none"/>
                <w:shd w:val="clear" w:color="auto" w:fill="FFFFFF"/>
              </w:rPr>
            </w:pPr>
          </w:p>
        </w:tc>
        <w:tc>
          <w:tcPr>
            <w:tcW w:w="1266" w:type="dxa"/>
            <w:tcBorders>
              <w:top w:val="nil"/>
              <w:left w:val="nil"/>
              <w:bottom w:val="nil"/>
              <w:right w:val="nil"/>
            </w:tcBorders>
            <w:shd w:val="clear" w:color="auto" w:fill="FFFFFF"/>
            <w:vAlign w:val="bottom"/>
          </w:tcPr>
          <w:p>
            <w:pPr>
              <w:jc w:val="left"/>
              <w:rPr>
                <w:rFonts w:hint="default" w:ascii="宋体"/>
                <w:color w:val="000000"/>
                <w:kern w:val="0"/>
                <w:sz w:val="18"/>
                <w:highlight w:val="none"/>
                <w:shd w:val="clear" w:color="auto" w:fill="FFFFFF"/>
              </w:rPr>
            </w:pPr>
          </w:p>
        </w:tc>
        <w:tc>
          <w:tcPr>
            <w:tcW w:w="1266" w:type="dxa"/>
            <w:tcBorders>
              <w:top w:val="nil"/>
              <w:left w:val="nil"/>
              <w:bottom w:val="nil"/>
              <w:right w:val="nil"/>
            </w:tcBorders>
            <w:shd w:val="clear" w:color="auto" w:fill="FFFFFF"/>
            <w:vAlign w:val="bottom"/>
          </w:tcPr>
          <w:p>
            <w:pPr>
              <w:jc w:val="left"/>
              <w:rPr>
                <w:rFonts w:hint="default" w:ascii="宋体"/>
                <w:color w:val="000000"/>
                <w:kern w:val="0"/>
                <w:sz w:val="18"/>
                <w:highlight w:val="none"/>
                <w:shd w:val="clear" w:color="auto" w:fill="FFFFFF"/>
              </w:rPr>
            </w:pPr>
          </w:p>
        </w:tc>
        <w:tc>
          <w:tcPr>
            <w:tcW w:w="1266" w:type="dxa"/>
            <w:tcBorders>
              <w:top w:val="nil"/>
              <w:left w:val="nil"/>
              <w:bottom w:val="nil"/>
              <w:right w:val="nil"/>
            </w:tcBorders>
            <w:shd w:val="clear" w:color="auto" w:fill="FFFFFF"/>
            <w:vAlign w:val="bottom"/>
          </w:tcPr>
          <w:p>
            <w:pPr>
              <w:jc w:val="left"/>
              <w:rPr>
                <w:rFonts w:hint="default" w:ascii="宋体"/>
                <w:color w:val="000000"/>
                <w:kern w:val="0"/>
                <w:sz w:val="18"/>
                <w:highlight w:val="none"/>
                <w:shd w:val="clear" w:color="auto" w:fill="FFFFFF"/>
              </w:rPr>
            </w:pPr>
          </w:p>
        </w:tc>
        <w:tc>
          <w:tcPr>
            <w:tcW w:w="1266" w:type="dxa"/>
            <w:tcBorders>
              <w:top w:val="nil"/>
              <w:left w:val="nil"/>
              <w:bottom w:val="nil"/>
              <w:right w:val="nil"/>
            </w:tcBorders>
            <w:shd w:val="clear" w:color="auto" w:fill="FFFFFF"/>
            <w:vAlign w:val="bottom"/>
          </w:tcPr>
          <w:p>
            <w:pPr>
              <w:jc w:val="left"/>
              <w:rPr>
                <w:rFonts w:hint="default" w:ascii="宋体"/>
                <w:color w:val="000000"/>
                <w:kern w:val="0"/>
                <w:sz w:val="18"/>
                <w:highlight w:val="none"/>
                <w:shd w:val="clear" w:color="auto" w:fill="FFFFFF"/>
              </w:rPr>
            </w:pPr>
          </w:p>
        </w:tc>
        <w:tc>
          <w:tcPr>
            <w:tcW w:w="2044" w:type="dxa"/>
            <w:tcBorders>
              <w:top w:val="nil"/>
              <w:left w:val="nil"/>
              <w:bottom w:val="nil"/>
              <w:right w:val="nil"/>
            </w:tcBorders>
            <w:shd w:val="clear" w:color="auto" w:fill="FFFFFF"/>
            <w:vAlign w:val="bottom"/>
          </w:tcPr>
          <w:p>
            <w:pPr>
              <w:rPr>
                <w:rFonts w:hint="default" w:ascii="宋体"/>
                <w:color w:val="000000"/>
                <w:kern w:val="0"/>
                <w:highlight w:val="none"/>
                <w:shd w:val="clear" w:color="auto" w:fill="FFFFFF"/>
              </w:rPr>
            </w:pPr>
          </w:p>
        </w:tc>
        <w:tc>
          <w:tcPr>
            <w:tcW w:w="2002" w:type="dxa"/>
            <w:tcBorders>
              <w:top w:val="nil"/>
              <w:left w:val="nil"/>
              <w:bottom w:val="nil"/>
              <w:right w:val="nil"/>
            </w:tcBorders>
            <w:shd w:val="clear" w:color="auto" w:fill="FFFFFF"/>
            <w:vAlign w:val="bottom"/>
          </w:tcPr>
          <w:p>
            <w:pPr>
              <w:keepNext w:val="0"/>
              <w:keepLines w:val="0"/>
              <w:widowControl/>
              <w:suppressLineNumbers w:val="0"/>
              <w:jc w:val="center"/>
              <w:textAlignment w:val="bottom"/>
              <w:rPr>
                <w:highlight w:val="none"/>
              </w:rPr>
            </w:pPr>
            <w:r>
              <w:rPr>
                <w:rFonts w:hint="eastAsia" w:ascii="宋体" w:hAnsi="宋体" w:eastAsia="宋体" w:cs="宋体"/>
                <w:i w:val="0"/>
                <w:color w:val="000000"/>
                <w:kern w:val="0"/>
                <w:sz w:val="21"/>
                <w:szCs w:val="21"/>
                <w:highlight w:val="none"/>
                <w:u w:val="none"/>
                <w:lang w:val="en-US" w:eastAsia="zh-CN" w:bidi="ar-SA"/>
              </w:rPr>
              <w:t>公开0</w:t>
            </w:r>
            <w:r>
              <w:rPr>
                <w:rFonts w:hint="eastAsia" w:ascii="宋体" w:hAnsi="宋体" w:cs="宋体"/>
                <w:i w:val="0"/>
                <w:color w:val="000000"/>
                <w:kern w:val="0"/>
                <w:sz w:val="21"/>
                <w:szCs w:val="21"/>
                <w:highlight w:val="none"/>
                <w:u w:val="none"/>
                <w:lang w:val="en-US" w:eastAsia="zh-CN" w:bidi="ar-SA"/>
              </w:rPr>
              <w:t>9</w:t>
            </w:r>
            <w:r>
              <w:rPr>
                <w:rFonts w:hint="eastAsia" w:ascii="宋体" w:hAnsi="宋体" w:eastAsia="宋体" w:cs="宋体"/>
                <w:i w:val="0"/>
                <w:color w:val="000000"/>
                <w:kern w:val="0"/>
                <w:sz w:val="21"/>
                <w:szCs w:val="21"/>
                <w:highlight w:val="none"/>
                <w:u w:val="none"/>
                <w:lang w:val="en-US" w:eastAsia="zh-CN" w:bidi="ar-SA"/>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532" w:type="dxa"/>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default" w:ascii="宋体"/>
                <w:color w:val="000000"/>
                <w:kern w:val="0"/>
                <w:highlight w:val="none"/>
                <w:shd w:val="clear" w:color="auto" w:fill="FFFFFF"/>
                <w:lang w:val="en-US"/>
              </w:rPr>
            </w:pPr>
            <w:r>
              <w:rPr>
                <w:rFonts w:hint="eastAsia" w:ascii="宋体" w:hAnsi="宋体" w:eastAsia="宋体" w:cs="宋体"/>
                <w:i w:val="0"/>
                <w:color w:val="000000"/>
                <w:kern w:val="0"/>
                <w:sz w:val="21"/>
                <w:szCs w:val="21"/>
                <w:highlight w:val="none"/>
                <w:u w:val="none"/>
                <w:lang w:val="en-US" w:eastAsia="zh-CN" w:bidi="ar-SA"/>
              </w:rPr>
              <w:t>部门：</w:t>
            </w:r>
            <w:r>
              <w:rPr>
                <w:rFonts w:hint="eastAsia" w:ascii="宋体" w:hAnsi="宋体"/>
                <w:color w:val="000000"/>
                <w:kern w:val="0"/>
                <w:highlight w:val="none"/>
                <w:shd w:val="clear" w:color="auto" w:fill="FFFFFF"/>
                <w:lang w:eastAsia="zh-CN"/>
              </w:rPr>
              <w:t>沈阳市体育局本级</w:t>
            </w:r>
          </w:p>
        </w:tc>
        <w:tc>
          <w:tcPr>
            <w:tcW w:w="1266" w:type="dxa"/>
            <w:tcBorders>
              <w:top w:val="nil"/>
              <w:left w:val="nil"/>
              <w:bottom w:val="nil"/>
              <w:right w:val="nil"/>
            </w:tcBorders>
            <w:shd w:val="clear" w:color="auto" w:fill="FFFFFF"/>
            <w:vAlign w:val="bottom"/>
          </w:tcPr>
          <w:p>
            <w:pPr>
              <w:jc w:val="left"/>
              <w:rPr>
                <w:rFonts w:hint="default" w:ascii="宋体"/>
                <w:color w:val="000000"/>
                <w:kern w:val="0"/>
                <w:highlight w:val="none"/>
                <w:shd w:val="clear" w:color="auto" w:fill="FFFFFF"/>
              </w:rPr>
            </w:pPr>
          </w:p>
        </w:tc>
        <w:tc>
          <w:tcPr>
            <w:tcW w:w="2532" w:type="dxa"/>
            <w:gridSpan w:val="2"/>
            <w:tcBorders>
              <w:top w:val="nil"/>
              <w:left w:val="nil"/>
              <w:bottom w:val="nil"/>
              <w:right w:val="nil"/>
            </w:tcBorders>
            <w:shd w:val="clear" w:color="auto" w:fill="FFFFFF"/>
            <w:vAlign w:val="bottom"/>
          </w:tcPr>
          <w:p>
            <w:pPr>
              <w:jc w:val="left"/>
              <w:rPr>
                <w:rFonts w:hint="default" w:ascii="宋体"/>
                <w:color w:val="000000"/>
                <w:kern w:val="0"/>
                <w:highlight w:val="none"/>
                <w:shd w:val="clear" w:color="auto" w:fill="FFFFFF"/>
              </w:rPr>
            </w:pPr>
          </w:p>
        </w:tc>
        <w:tc>
          <w:tcPr>
            <w:tcW w:w="1266" w:type="dxa"/>
            <w:tcBorders>
              <w:top w:val="nil"/>
              <w:left w:val="nil"/>
              <w:bottom w:val="nil"/>
              <w:right w:val="nil"/>
            </w:tcBorders>
            <w:shd w:val="clear" w:color="auto" w:fill="FFFFFF"/>
            <w:vAlign w:val="bottom"/>
          </w:tcPr>
          <w:p>
            <w:pPr>
              <w:jc w:val="left"/>
              <w:rPr>
                <w:rFonts w:hint="default" w:ascii="宋体"/>
                <w:color w:val="000000"/>
                <w:kern w:val="0"/>
                <w:highlight w:val="none"/>
                <w:shd w:val="clear" w:color="auto" w:fill="FFFFFF"/>
              </w:rPr>
            </w:pPr>
          </w:p>
        </w:tc>
        <w:tc>
          <w:tcPr>
            <w:tcW w:w="1266" w:type="dxa"/>
            <w:tcBorders>
              <w:top w:val="nil"/>
              <w:left w:val="nil"/>
              <w:bottom w:val="nil"/>
              <w:right w:val="nil"/>
            </w:tcBorders>
            <w:shd w:val="clear" w:color="auto" w:fill="FFFFFF"/>
            <w:vAlign w:val="bottom"/>
          </w:tcPr>
          <w:p>
            <w:pPr>
              <w:jc w:val="left"/>
              <w:rPr>
                <w:rFonts w:hint="default" w:ascii="宋体"/>
                <w:color w:val="000000"/>
                <w:kern w:val="0"/>
                <w:highlight w:val="none"/>
                <w:shd w:val="clear" w:color="auto" w:fill="FFFFFF"/>
              </w:rPr>
            </w:pPr>
          </w:p>
        </w:tc>
        <w:tc>
          <w:tcPr>
            <w:tcW w:w="1266" w:type="dxa"/>
            <w:tcBorders>
              <w:top w:val="nil"/>
              <w:left w:val="nil"/>
              <w:bottom w:val="nil"/>
              <w:right w:val="nil"/>
            </w:tcBorders>
            <w:shd w:val="clear" w:color="auto" w:fill="FFFFFF"/>
            <w:vAlign w:val="bottom"/>
          </w:tcPr>
          <w:p>
            <w:pPr>
              <w:jc w:val="left"/>
              <w:rPr>
                <w:rFonts w:hint="default" w:ascii="宋体"/>
                <w:color w:val="000000"/>
                <w:kern w:val="0"/>
                <w:highlight w:val="none"/>
                <w:shd w:val="clear" w:color="auto" w:fill="FFFFFF"/>
              </w:rPr>
            </w:pPr>
          </w:p>
        </w:tc>
        <w:tc>
          <w:tcPr>
            <w:tcW w:w="2044" w:type="dxa"/>
            <w:tcBorders>
              <w:top w:val="nil"/>
              <w:left w:val="nil"/>
              <w:bottom w:val="nil"/>
              <w:right w:val="nil"/>
            </w:tcBorders>
            <w:shd w:val="clear" w:color="auto" w:fill="FFFFFF"/>
            <w:vAlign w:val="bottom"/>
          </w:tcPr>
          <w:p>
            <w:pPr>
              <w:rPr>
                <w:rFonts w:hint="default" w:ascii="宋体"/>
                <w:color w:val="000000"/>
                <w:kern w:val="0"/>
                <w:highlight w:val="none"/>
                <w:shd w:val="clear" w:color="auto" w:fill="FFFFFF"/>
              </w:rPr>
            </w:pPr>
          </w:p>
        </w:tc>
        <w:tc>
          <w:tcPr>
            <w:tcW w:w="2002" w:type="dxa"/>
            <w:tcBorders>
              <w:top w:val="nil"/>
              <w:left w:val="nil"/>
              <w:bottom w:val="nil"/>
              <w:right w:val="nil"/>
            </w:tcBorders>
            <w:shd w:val="clear" w:color="auto" w:fill="FFFFFF"/>
            <w:vAlign w:val="bottom"/>
          </w:tcPr>
          <w:p>
            <w:pPr>
              <w:keepNext w:val="0"/>
              <w:keepLines w:val="0"/>
              <w:widowControl/>
              <w:suppressLineNumbers w:val="0"/>
              <w:jc w:val="center"/>
              <w:textAlignment w:val="bottom"/>
              <w:rPr>
                <w:highlight w:val="none"/>
              </w:rPr>
            </w:pPr>
            <w:r>
              <w:rPr>
                <w:rFonts w:hint="eastAsia" w:ascii="宋体" w:hAnsi="宋体" w:eastAsia="宋体" w:cs="宋体"/>
                <w:i w:val="0"/>
                <w:color w:val="000000"/>
                <w:kern w:val="0"/>
                <w:sz w:val="21"/>
                <w:szCs w:val="21"/>
                <w:highlight w:val="none"/>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9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cs="宋体"/>
                <w:i w:val="0"/>
                <w:color w:val="000000"/>
                <w:kern w:val="0"/>
                <w:sz w:val="21"/>
                <w:szCs w:val="21"/>
                <w:highlight w:val="none"/>
                <w:u w:val="none"/>
                <w:lang w:val="en-US" w:eastAsia="zh-CN" w:bidi="ar-SA"/>
              </w:rPr>
              <w:t>项目</w:t>
            </w:r>
          </w:p>
        </w:tc>
        <w:tc>
          <w:tcPr>
            <w:tcW w:w="6578" w:type="dxa"/>
            <w:gridSpan w:val="4"/>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eastAsia="宋体" w:cs="宋体"/>
                <w:i w:val="0"/>
                <w:color w:val="000000"/>
                <w:kern w:val="0"/>
                <w:sz w:val="21"/>
                <w:szCs w:val="21"/>
                <w:highlight w:val="none"/>
                <w:u w:val="none"/>
                <w:lang w:val="en-US" w:eastAsia="zh-CN" w:bidi="ar-SA"/>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3798"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eastAsia="宋体"/>
                <w:color w:val="000000"/>
                <w:kern w:val="0"/>
                <w:highlight w:val="none"/>
                <w:lang w:val="en-US" w:eastAsia="zh-CN"/>
              </w:rPr>
            </w:pPr>
            <w:r>
              <w:rPr>
                <w:rFonts w:hint="eastAsia" w:ascii="宋体"/>
                <w:color w:val="000000"/>
                <w:kern w:val="0"/>
                <w:highlight w:val="none"/>
                <w:lang w:val="en-US" w:eastAsia="zh-CN"/>
              </w:rPr>
              <w:t>功能分类科目编码</w:t>
            </w:r>
          </w:p>
        </w:tc>
        <w:tc>
          <w:tcPr>
            <w:tcW w:w="379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eastAsia="宋体"/>
                <w:color w:val="000000"/>
                <w:kern w:val="0"/>
                <w:highlight w:val="none"/>
                <w:lang w:val="en-US" w:eastAsia="zh-CN"/>
              </w:rPr>
            </w:pPr>
            <w:r>
              <w:rPr>
                <w:rFonts w:hint="eastAsia" w:ascii="宋体"/>
                <w:color w:val="000000"/>
                <w:kern w:val="0"/>
                <w:highlight w:val="none"/>
                <w:lang w:val="en-US" w:eastAsia="zh-CN"/>
              </w:rPr>
              <w:t>科目名称</w:t>
            </w:r>
          </w:p>
        </w:tc>
        <w:tc>
          <w:tcPr>
            <w:tcW w:w="2532" w:type="dxa"/>
            <w:gridSpan w:val="2"/>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eastAsia="宋体" w:cs="宋体"/>
                <w:i w:val="0"/>
                <w:color w:val="000000"/>
                <w:kern w:val="0"/>
                <w:sz w:val="21"/>
                <w:szCs w:val="21"/>
                <w:highlight w:val="none"/>
                <w:u w:val="none"/>
                <w:lang w:val="en-US" w:eastAsia="zh-CN" w:bidi="ar-SA"/>
              </w:rPr>
              <w:t>合计</w:t>
            </w:r>
          </w:p>
        </w:tc>
        <w:tc>
          <w:tcPr>
            <w:tcW w:w="204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eastAsia="宋体" w:cs="宋体"/>
                <w:i w:val="0"/>
                <w:color w:val="000000"/>
                <w:kern w:val="0"/>
                <w:sz w:val="21"/>
                <w:szCs w:val="21"/>
                <w:highlight w:val="none"/>
                <w:u w:val="none"/>
                <w:lang w:val="en-US" w:eastAsia="zh-CN" w:bidi="ar-SA"/>
              </w:rPr>
              <w:t>基本支出</w:t>
            </w:r>
          </w:p>
        </w:tc>
        <w:tc>
          <w:tcPr>
            <w:tcW w:w="200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eastAsia="宋体" w:cs="宋体"/>
                <w:i w:val="0"/>
                <w:color w:val="000000"/>
                <w:kern w:val="0"/>
                <w:sz w:val="21"/>
                <w:szCs w:val="21"/>
                <w:highlight w:val="none"/>
                <w:u w:val="none"/>
                <w:lang w:val="en-US" w:eastAsia="zh-CN" w:bidi="ar-SA"/>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7596" w:type="dxa"/>
            <w:gridSpan w:val="5"/>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eastAsia="宋体" w:cs="宋体"/>
                <w:i w:val="0"/>
                <w:color w:val="000000"/>
                <w:kern w:val="0"/>
                <w:sz w:val="21"/>
                <w:szCs w:val="21"/>
                <w:highlight w:val="none"/>
                <w:u w:val="none"/>
                <w:lang w:val="en-US" w:eastAsia="zh-CN" w:bidi="ar-SA"/>
              </w:rPr>
              <w:t>栏次</w:t>
            </w:r>
          </w:p>
        </w:tc>
        <w:tc>
          <w:tcPr>
            <w:tcW w:w="2532" w:type="dxa"/>
            <w:gridSpan w:val="2"/>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cs="宋体"/>
                <w:i w:val="0"/>
                <w:color w:val="000000"/>
                <w:kern w:val="0"/>
                <w:sz w:val="21"/>
                <w:szCs w:val="21"/>
                <w:highlight w:val="none"/>
                <w:u w:val="none"/>
                <w:lang w:val="en-US" w:eastAsia="zh-CN" w:bidi="ar-SA"/>
              </w:rPr>
              <w:t>1</w:t>
            </w:r>
          </w:p>
        </w:tc>
        <w:tc>
          <w:tcPr>
            <w:tcW w:w="204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cs="宋体"/>
                <w:i w:val="0"/>
                <w:color w:val="000000"/>
                <w:kern w:val="0"/>
                <w:sz w:val="21"/>
                <w:szCs w:val="21"/>
                <w:highlight w:val="none"/>
                <w:u w:val="none"/>
                <w:lang w:val="en-US" w:eastAsia="zh-CN" w:bidi="ar-SA"/>
              </w:rPr>
              <w:t>2</w:t>
            </w:r>
          </w:p>
        </w:tc>
        <w:tc>
          <w:tcPr>
            <w:tcW w:w="200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cs="宋体"/>
                <w:i w:val="0"/>
                <w:color w:val="000000"/>
                <w:kern w:val="0"/>
                <w:sz w:val="21"/>
                <w:szCs w:val="21"/>
                <w:highlight w:val="none"/>
                <w:u w:val="none"/>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96" w:type="dxa"/>
            <w:gridSpan w:val="5"/>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color w:val="000000"/>
                <w:kern w:val="0"/>
                <w:highlight w:val="none"/>
              </w:rPr>
            </w:pPr>
            <w:r>
              <w:rPr>
                <w:rFonts w:hint="eastAsia" w:ascii="宋体" w:hAnsi="宋体" w:eastAsia="宋体" w:cs="宋体"/>
                <w:i w:val="0"/>
                <w:color w:val="000000"/>
                <w:kern w:val="0"/>
                <w:sz w:val="21"/>
                <w:szCs w:val="21"/>
                <w:highlight w:val="none"/>
                <w:u w:val="none"/>
                <w:lang w:val="en-US" w:eastAsia="zh-CN" w:bidi="ar-SA"/>
              </w:rPr>
              <w:t>合计</w:t>
            </w:r>
          </w:p>
        </w:tc>
        <w:tc>
          <w:tcPr>
            <w:tcW w:w="2532" w:type="dxa"/>
            <w:gridSpan w:val="2"/>
            <w:tcBorders>
              <w:top w:val="single" w:color="000000" w:sz="4" w:space="0"/>
              <w:left w:val="nil"/>
              <w:bottom w:val="single" w:color="000000" w:sz="4" w:space="0"/>
              <w:right w:val="single" w:color="000000" w:sz="4" w:space="0"/>
            </w:tcBorders>
            <w:vAlign w:val="center"/>
          </w:tcPr>
          <w:p>
            <w:pPr>
              <w:jc w:val="center"/>
              <w:rPr>
                <w:rFonts w:hint="default" w:ascii="宋体"/>
                <w:color w:val="000000"/>
                <w:kern w:val="0"/>
                <w:highlight w:val="none"/>
              </w:rPr>
            </w:pPr>
          </w:p>
        </w:tc>
        <w:tc>
          <w:tcPr>
            <w:tcW w:w="2044" w:type="dxa"/>
            <w:tcBorders>
              <w:top w:val="single" w:color="000000" w:sz="4" w:space="0"/>
              <w:left w:val="nil"/>
              <w:bottom w:val="single" w:color="000000" w:sz="4" w:space="0"/>
              <w:right w:val="single" w:color="000000" w:sz="4" w:space="0"/>
            </w:tcBorders>
            <w:vAlign w:val="center"/>
          </w:tcPr>
          <w:p>
            <w:pPr>
              <w:jc w:val="center"/>
              <w:rPr>
                <w:rFonts w:hint="default" w:ascii="宋体"/>
                <w:color w:val="000000"/>
                <w:kern w:val="0"/>
                <w:highlight w:val="none"/>
              </w:rPr>
            </w:pPr>
          </w:p>
        </w:tc>
        <w:tc>
          <w:tcPr>
            <w:tcW w:w="2002" w:type="dxa"/>
            <w:tcBorders>
              <w:top w:val="single" w:color="000000" w:sz="4" w:space="0"/>
              <w:left w:val="nil"/>
              <w:bottom w:val="single" w:color="000000" w:sz="4" w:space="0"/>
              <w:right w:val="single" w:color="000000" w:sz="4" w:space="0"/>
            </w:tcBorders>
            <w:vAlign w:val="center"/>
          </w:tcPr>
          <w:p>
            <w:pPr>
              <w:jc w:val="center"/>
              <w:rPr>
                <w:rFonts w:hint="default" w:ascii="宋体"/>
                <w:color w:val="000000"/>
                <w:kern w:val="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79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color w:val="000000"/>
                <w:kern w:val="0"/>
                <w:highlight w:val="none"/>
              </w:rPr>
            </w:pPr>
          </w:p>
        </w:tc>
        <w:tc>
          <w:tcPr>
            <w:tcW w:w="3798" w:type="dxa"/>
            <w:gridSpan w:val="3"/>
            <w:tcBorders>
              <w:top w:val="single" w:color="000000" w:sz="4" w:space="0"/>
              <w:left w:val="nil"/>
              <w:bottom w:val="single" w:color="000000" w:sz="4" w:space="0"/>
              <w:right w:val="single" w:color="000000" w:sz="4" w:space="0"/>
            </w:tcBorders>
            <w:vAlign w:val="center"/>
          </w:tcPr>
          <w:p>
            <w:pPr>
              <w:jc w:val="center"/>
              <w:rPr>
                <w:rFonts w:hint="default" w:ascii="宋体"/>
                <w:color w:val="000000"/>
                <w:kern w:val="0"/>
                <w:highlight w:val="none"/>
              </w:rPr>
            </w:pPr>
          </w:p>
        </w:tc>
        <w:tc>
          <w:tcPr>
            <w:tcW w:w="2532" w:type="dxa"/>
            <w:gridSpan w:val="2"/>
            <w:tcBorders>
              <w:top w:val="single" w:color="000000" w:sz="4" w:space="0"/>
              <w:left w:val="nil"/>
              <w:bottom w:val="single" w:color="000000" w:sz="4" w:space="0"/>
              <w:right w:val="single" w:color="000000" w:sz="4" w:space="0"/>
            </w:tcBorders>
            <w:vAlign w:val="center"/>
          </w:tcPr>
          <w:p>
            <w:pPr>
              <w:jc w:val="center"/>
              <w:rPr>
                <w:rFonts w:hint="default" w:ascii="宋体"/>
                <w:color w:val="000000"/>
                <w:kern w:val="0"/>
                <w:highlight w:val="none"/>
              </w:rPr>
            </w:pPr>
          </w:p>
        </w:tc>
        <w:tc>
          <w:tcPr>
            <w:tcW w:w="2044" w:type="dxa"/>
            <w:tcBorders>
              <w:top w:val="single" w:color="000000" w:sz="4" w:space="0"/>
              <w:left w:val="nil"/>
              <w:bottom w:val="single" w:color="000000" w:sz="4" w:space="0"/>
              <w:right w:val="single" w:color="000000" w:sz="4" w:space="0"/>
            </w:tcBorders>
            <w:vAlign w:val="center"/>
          </w:tcPr>
          <w:p>
            <w:pPr>
              <w:jc w:val="center"/>
              <w:rPr>
                <w:rFonts w:hint="default" w:ascii="宋体"/>
                <w:color w:val="000000"/>
                <w:kern w:val="0"/>
                <w:highlight w:val="none"/>
              </w:rPr>
            </w:pPr>
          </w:p>
        </w:tc>
        <w:tc>
          <w:tcPr>
            <w:tcW w:w="2002" w:type="dxa"/>
            <w:tcBorders>
              <w:top w:val="single" w:color="000000" w:sz="4" w:space="0"/>
              <w:left w:val="nil"/>
              <w:bottom w:val="single" w:color="000000" w:sz="4" w:space="0"/>
              <w:right w:val="single" w:color="000000" w:sz="4" w:space="0"/>
            </w:tcBorders>
            <w:vAlign w:val="center"/>
          </w:tcPr>
          <w:p>
            <w:pPr>
              <w:jc w:val="center"/>
              <w:rPr>
                <w:rFonts w:hint="default" w:ascii="宋体"/>
                <w:color w:val="000000"/>
                <w:kern w:val="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79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color w:val="000000"/>
                <w:kern w:val="0"/>
                <w:highlight w:val="none"/>
              </w:rPr>
            </w:pPr>
          </w:p>
        </w:tc>
        <w:tc>
          <w:tcPr>
            <w:tcW w:w="3798" w:type="dxa"/>
            <w:gridSpan w:val="3"/>
            <w:tcBorders>
              <w:top w:val="single" w:color="000000" w:sz="4" w:space="0"/>
              <w:left w:val="nil"/>
              <w:bottom w:val="single" w:color="000000" w:sz="4" w:space="0"/>
              <w:right w:val="single" w:color="000000" w:sz="4" w:space="0"/>
            </w:tcBorders>
            <w:vAlign w:val="center"/>
          </w:tcPr>
          <w:p>
            <w:pPr>
              <w:jc w:val="center"/>
              <w:rPr>
                <w:rFonts w:hint="default" w:ascii="宋体"/>
                <w:color w:val="000000"/>
                <w:kern w:val="0"/>
                <w:highlight w:val="none"/>
              </w:rPr>
            </w:pPr>
          </w:p>
        </w:tc>
        <w:tc>
          <w:tcPr>
            <w:tcW w:w="2532" w:type="dxa"/>
            <w:gridSpan w:val="2"/>
            <w:tcBorders>
              <w:top w:val="single" w:color="000000" w:sz="4" w:space="0"/>
              <w:left w:val="nil"/>
              <w:bottom w:val="single" w:color="000000" w:sz="4" w:space="0"/>
              <w:right w:val="single" w:color="000000" w:sz="4" w:space="0"/>
            </w:tcBorders>
            <w:vAlign w:val="center"/>
          </w:tcPr>
          <w:p>
            <w:pPr>
              <w:jc w:val="center"/>
              <w:rPr>
                <w:rFonts w:hint="default" w:ascii="宋体"/>
                <w:color w:val="000000"/>
                <w:kern w:val="0"/>
                <w:highlight w:val="none"/>
              </w:rPr>
            </w:pPr>
          </w:p>
        </w:tc>
        <w:tc>
          <w:tcPr>
            <w:tcW w:w="2044" w:type="dxa"/>
            <w:tcBorders>
              <w:top w:val="single" w:color="000000" w:sz="4" w:space="0"/>
              <w:left w:val="nil"/>
              <w:bottom w:val="single" w:color="000000" w:sz="4" w:space="0"/>
              <w:right w:val="single" w:color="000000" w:sz="4" w:space="0"/>
            </w:tcBorders>
            <w:vAlign w:val="center"/>
          </w:tcPr>
          <w:p>
            <w:pPr>
              <w:jc w:val="center"/>
              <w:rPr>
                <w:rFonts w:hint="default" w:ascii="宋体"/>
                <w:color w:val="000000"/>
                <w:kern w:val="0"/>
                <w:highlight w:val="none"/>
              </w:rPr>
            </w:pPr>
          </w:p>
        </w:tc>
        <w:tc>
          <w:tcPr>
            <w:tcW w:w="2002" w:type="dxa"/>
            <w:tcBorders>
              <w:top w:val="single" w:color="000000" w:sz="4" w:space="0"/>
              <w:left w:val="nil"/>
              <w:bottom w:val="single" w:color="000000" w:sz="4" w:space="0"/>
              <w:right w:val="single" w:color="000000" w:sz="4" w:space="0"/>
            </w:tcBorders>
            <w:vAlign w:val="center"/>
          </w:tcPr>
          <w:p>
            <w:pPr>
              <w:jc w:val="center"/>
              <w:rPr>
                <w:rFonts w:hint="default" w:ascii="宋体"/>
                <w:color w:val="000000"/>
                <w:kern w:val="0"/>
                <w:highlight w:val="none"/>
              </w:rPr>
            </w:pPr>
          </w:p>
        </w:tc>
      </w:tr>
    </w:tbl>
    <w:p>
      <w:pPr>
        <w:widowControl/>
        <w:spacing w:line="56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注：1.本表反映部门本年度</w:t>
      </w:r>
      <w:r>
        <w:rPr>
          <w:rFonts w:hint="eastAsia" w:ascii="宋体" w:hAnsi="宋体" w:eastAsia="宋体" w:cs="宋体"/>
          <w:kern w:val="0"/>
          <w:sz w:val="21"/>
          <w:szCs w:val="21"/>
          <w:highlight w:val="none"/>
          <w:lang w:eastAsia="zh-CN"/>
        </w:rPr>
        <w:t>国有资本经营预算</w:t>
      </w:r>
      <w:r>
        <w:rPr>
          <w:rFonts w:hint="eastAsia" w:ascii="宋体" w:hAnsi="宋体" w:eastAsia="宋体" w:cs="宋体"/>
          <w:kern w:val="0"/>
          <w:sz w:val="21"/>
          <w:szCs w:val="21"/>
          <w:highlight w:val="none"/>
        </w:rPr>
        <w:t>财政拨款支出情况。2.本套报表金额单位转换时可能存在尾数误差。3.如本表为空，则我部门本年度无此类资金收支余。</w:t>
      </w:r>
    </w:p>
    <w:p/>
    <w:p>
      <w:pPr>
        <w:rPr>
          <w:rFonts w:hint="default"/>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00"/>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665118"/>
    <w:multiLevelType w:val="singleLevel"/>
    <w:tmpl w:val="FE665118"/>
    <w:lvl w:ilvl="0" w:tentative="0">
      <w:start w:val="2"/>
      <w:numFmt w:val="chineseCounting"/>
      <w:suff w:val="space"/>
      <w:lvlText w:val="第%1部分"/>
      <w:lvlJc w:val="left"/>
      <w:rPr>
        <w:rFonts w:hint="eastAsia"/>
      </w:rPr>
    </w:lvl>
  </w:abstractNum>
  <w:abstractNum w:abstractNumId="1">
    <w:nsid w:val="0003F08B"/>
    <w:multiLevelType w:val="multilevel"/>
    <w:tmpl w:val="0003F08B"/>
    <w:lvl w:ilvl="0" w:tentative="0">
      <w:start w:val="1"/>
      <w:numFmt w:val="japaneseCounting"/>
      <w:lvlText w:val="%1、"/>
      <w:lvlJc w:val="left"/>
      <w:pPr>
        <w:tabs>
          <w:tab w:val="left" w:pos="720"/>
        </w:tabs>
        <w:ind w:left="720" w:hanging="720"/>
      </w:pPr>
      <w:rPr>
        <w:rFonts w:hint="default"/>
      </w:rPr>
    </w:lvl>
    <w:lvl w:ilvl="1" w:tentative="0">
      <w:start w:val="2"/>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righ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right"/>
      <w:pPr>
        <w:tabs>
          <w:tab w:val="left" w:pos="3780"/>
        </w:tabs>
        <w:ind w:left="3780" w:hanging="420"/>
      </w:pPr>
      <w:rPr>
        <w:rFonts w:hint="default"/>
      </w:rPr>
    </w:lvl>
  </w:abstractNum>
  <w:abstractNum w:abstractNumId="2">
    <w:nsid w:val="387DA2BB"/>
    <w:multiLevelType w:val="singleLevel"/>
    <w:tmpl w:val="387DA2BB"/>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635C29"/>
    <w:rsid w:val="00060165"/>
    <w:rsid w:val="000B596F"/>
    <w:rsid w:val="00100607"/>
    <w:rsid w:val="001D0B4A"/>
    <w:rsid w:val="00320394"/>
    <w:rsid w:val="00342E31"/>
    <w:rsid w:val="0038444A"/>
    <w:rsid w:val="00387684"/>
    <w:rsid w:val="0044142C"/>
    <w:rsid w:val="00485722"/>
    <w:rsid w:val="00505889"/>
    <w:rsid w:val="005812D3"/>
    <w:rsid w:val="005814A4"/>
    <w:rsid w:val="00590A8D"/>
    <w:rsid w:val="005C4DCE"/>
    <w:rsid w:val="00753B9D"/>
    <w:rsid w:val="00756329"/>
    <w:rsid w:val="007F77B9"/>
    <w:rsid w:val="008040A1"/>
    <w:rsid w:val="00954778"/>
    <w:rsid w:val="00A17144"/>
    <w:rsid w:val="00A5357A"/>
    <w:rsid w:val="00A57A14"/>
    <w:rsid w:val="00B54181"/>
    <w:rsid w:val="00BC09C4"/>
    <w:rsid w:val="00DC3915"/>
    <w:rsid w:val="00E4305D"/>
    <w:rsid w:val="00F16B2B"/>
    <w:rsid w:val="00F67249"/>
    <w:rsid w:val="00F724E9"/>
    <w:rsid w:val="09C4782E"/>
    <w:rsid w:val="1C635C29"/>
    <w:rsid w:val="3595B585"/>
    <w:rsid w:val="36230505"/>
    <w:rsid w:val="54F6469B"/>
    <w:rsid w:val="63AA17A7"/>
    <w:rsid w:val="673C6F2C"/>
    <w:rsid w:val="6FDFC959"/>
    <w:rsid w:val="77FC6CC5"/>
    <w:rsid w:val="7A3E4485"/>
    <w:rsid w:val="7D024843"/>
    <w:rsid w:val="7FEB4077"/>
    <w:rsid w:val="9FFD2DEE"/>
    <w:rsid w:val="DFAE0B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jc w:val="both"/>
      <w:textAlignment w:val="baseline"/>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22"/>
    <w:rPr>
      <w:b/>
      <w:bCs/>
    </w:rPr>
  </w:style>
  <w:style w:type="paragraph" w:customStyle="1" w:styleId="8">
    <w:name w:val="p0"/>
    <w:basedOn w:val="1"/>
    <w:qFormat/>
    <w:uiPriority w:val="0"/>
    <w:pPr>
      <w:widowControl/>
    </w:pPr>
    <w:rPr>
      <w:rFonts w:ascii="宋体" w:hAnsi="宋体"/>
    </w:rPr>
  </w:style>
  <w:style w:type="character" w:customStyle="1" w:styleId="9">
    <w:name w:val="页眉 Char"/>
    <w:basedOn w:val="6"/>
    <w:link w:val="4"/>
    <w:qFormat/>
    <w:uiPriority w:val="0"/>
    <w:rPr>
      <w:rFonts w:ascii="Times New Roman" w:hAnsi="Times New Roman" w:eastAsia="宋体"/>
      <w:kern w:val="2"/>
      <w:sz w:val="18"/>
      <w:szCs w:val="18"/>
    </w:rPr>
  </w:style>
  <w:style w:type="character" w:customStyle="1" w:styleId="10">
    <w:name w:val="页脚 Char"/>
    <w:basedOn w:val="6"/>
    <w:link w:val="3"/>
    <w:qFormat/>
    <w:uiPriority w:val="0"/>
    <w:rPr>
      <w:rFonts w:ascii="Times New Roman" w:hAnsi="Times New Roman" w:eastAsia="宋体"/>
      <w:kern w:val="2"/>
      <w:sz w:val="18"/>
      <w:szCs w:val="18"/>
    </w:rPr>
  </w:style>
  <w:style w:type="paragraph" w:customStyle="1" w:styleId="11">
    <w:name w:val="p15"/>
    <w:basedOn w:val="1"/>
    <w:qFormat/>
    <w:uiPriority w:val="0"/>
    <w:pPr>
      <w:widowControl/>
    </w:pPr>
    <w:rPr>
      <w:rFonts w:hint="default" w:ascii="宋体" w:hAnsi="宋体" w:cs="宋体"/>
      <w:kern w:val="0"/>
      <w:szCs w:val="21"/>
    </w:rPr>
  </w:style>
  <w:style w:type="character" w:customStyle="1" w:styleId="12">
    <w:name w:val="font01"/>
    <w:basedOn w:val="6"/>
    <w:qFormat/>
    <w:uiPriority w:val="0"/>
    <w:rPr>
      <w:rFonts w:hint="eastAsia" w:ascii="宋体" w:hAnsi="宋体" w:eastAsia="宋体" w:cs="宋体"/>
      <w:color w:val="000000"/>
      <w:sz w:val="16"/>
      <w:szCs w:val="16"/>
      <w:u w:val="none"/>
    </w:rPr>
  </w:style>
  <w:style w:type="character" w:customStyle="1" w:styleId="13">
    <w:name w:val="font21"/>
    <w:basedOn w:val="6"/>
    <w:qFormat/>
    <w:uiPriority w:val="0"/>
    <w:rPr>
      <w:rFonts w:hint="eastAsia" w:ascii="宋体" w:hAnsi="宋体" w:eastAsia="宋体" w:cs="宋体"/>
      <w:color w:val="000000"/>
      <w:sz w:val="24"/>
      <w:szCs w:val="24"/>
      <w:u w:val="none"/>
    </w:rPr>
  </w:style>
  <w:style w:type="character" w:customStyle="1" w:styleId="14">
    <w:name w:val="font11"/>
    <w:basedOn w:val="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796</Words>
  <Characters>4541</Characters>
  <Lines>37</Lines>
  <Paragraphs>10</Paragraphs>
  <TotalTime>18</TotalTime>
  <ScaleCrop>false</ScaleCrop>
  <LinksUpToDate>false</LinksUpToDate>
  <CharactersWithSpaces>5327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2022-09-16T18:31:00Z</dcterms:created>
  <dc:creator>国库处-王艳秋</dc:creator>
  <cp:lastModifiedBy>胖胖小盟</cp:lastModifiedBy>
  <cp:lastPrinted>2022-09-29T22:32:00Z</cp:lastPrinted>
  <dcterms:modified xsi:type="dcterms:W3CDTF">2023-10-07T06:53:50Z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